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0" w:lineRule="auto"/>
        <w:jc w:val="center"/>
        <w:rPr>
          <w:rFonts w:ascii="Arial" w:cs="Arial" w:eastAsia="Arial" w:hAnsi="Arial"/>
          <w:sz w:val="36"/>
          <w:szCs w:val="36"/>
        </w:rPr>
      </w:pPr>
      <w:r w:rsidDel="00000000" w:rsidR="00000000" w:rsidRPr="00000000">
        <w:rPr>
          <w:rFonts w:ascii="Arial" w:cs="Arial" w:eastAsia="Arial" w:hAnsi="Arial"/>
          <w:b w:val="1"/>
          <w:bCs w:val="1"/>
          <w:color w:val="9a7d0a"/>
          <w:sz w:val="36"/>
          <w:szCs w:val="36"/>
          <w:rtl w:val="0"/>
        </w:rPr>
        <w:t xml:space="preserve">MARMAN CLIMATE SMART TECHNOLOGY</w:t>
      </w:r>
      <w:r w:rsidDel="00000000" w:rsidR="00000000" w:rsidRPr="00000000">
        <w:rPr>
          <w:rtl w:val="0"/>
        </w:rPr>
      </w:r>
    </w:p>
    <w:p w:rsidR="00000000" w:rsidDel="00000000" w:rsidP="00000000" w:rsidRDefault="00000000" w:rsidRPr="00000000" w14:paraId="00000002">
      <w:pPr>
        <w:spacing w:after="80" w:before="0" w:lineRule="auto"/>
        <w:jc w:val="center"/>
        <w:rPr>
          <w:rFonts w:ascii="Arial" w:cs="Arial" w:eastAsia="Arial" w:hAnsi="Arial"/>
        </w:rPr>
      </w:pPr>
      <w:r w:rsidDel="00000000" w:rsidR="00000000" w:rsidRPr="00000000">
        <w:rPr>
          <w:rFonts w:ascii="Arial" w:cs="Arial" w:eastAsia="Arial" w:hAnsi="Arial"/>
          <w:color w:val="b8960c"/>
          <w:sz w:val="24"/>
          <w:szCs w:val="24"/>
          <w:rtl w:val="0"/>
        </w:rPr>
        <w:t xml:space="preserve">CleanTech-as-a-Service for underserved India</w:t>
      </w:r>
      <w:r w:rsidDel="00000000" w:rsidR="00000000" w:rsidRPr="00000000">
        <w:rPr>
          <w:rtl w:val="0"/>
        </w:rPr>
      </w:r>
    </w:p>
    <w:p w:rsidR="00000000" w:rsidDel="00000000" w:rsidP="00000000" w:rsidRDefault="00000000" w:rsidRPr="00000000" w14:paraId="00000003">
      <w:pPr>
        <w:spacing w:after="200" w:before="0" w:lineRule="auto"/>
        <w:jc w:val="center"/>
        <w:rPr>
          <w:rFonts w:ascii="Arial" w:cs="Arial" w:eastAsia="Arial" w:hAnsi="Arial"/>
        </w:rPr>
      </w:pPr>
      <w:r w:rsidDel="00000000" w:rsidR="00000000" w:rsidRPr="00000000">
        <w:rPr>
          <w:rFonts w:ascii="Arial" w:cs="Arial" w:eastAsia="Arial" w:hAnsi="Arial"/>
          <w:color w:val="888888"/>
          <w:sz w:val="20"/>
          <w:szCs w:val="20"/>
          <w:rtl w:val="0"/>
        </w:rPr>
        <w:t xml:space="preserve">Stage 2 Investment Evaluation  |  Next Bharat Ventures  |  March 2026</w:t>
      </w:r>
      <w:r w:rsidDel="00000000" w:rsidR="00000000" w:rsidRPr="00000000">
        <w:rPr>
          <w:rtl w:val="0"/>
        </w:rPr>
      </w:r>
    </w:p>
    <w:tbl>
      <w:tblPr>
        <w:tblStyle w:val="Table1"/>
        <w:tblW w:w="100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10"/>
        <w:gridCol w:w="5625"/>
        <w:tblGridChange w:id="0">
          <w:tblGrid>
            <w:gridCol w:w="4410"/>
            <w:gridCol w:w="5625"/>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04">
            <w:pPr>
              <w:spacing w:after="60" w:before="60" w:lineRule="auto"/>
              <w:jc w:val="left"/>
              <w:rPr>
                <w:rFonts w:ascii="Arial" w:cs="Arial" w:eastAsia="Arial" w:hAnsi="Arial"/>
              </w:rPr>
            </w:pPr>
            <w:r w:rsidDel="00000000" w:rsidR="00000000" w:rsidRPr="00000000">
              <w:rPr>
                <w:rFonts w:ascii="Arial" w:cs="Arial" w:eastAsia="Arial" w:hAnsi="Arial"/>
                <w:color w:val="f5e6a3"/>
                <w:sz w:val="17"/>
                <w:szCs w:val="17"/>
                <w:rtl w:val="0"/>
              </w:rPr>
              <w:t xml:space="preserve">Company</w:t>
            </w:r>
            <w:r w:rsidDel="00000000" w:rsidR="00000000" w:rsidRPr="00000000">
              <w:rPr>
                <w:rtl w:val="0"/>
              </w:rPr>
            </w:r>
          </w:p>
          <w:p w:rsidR="00000000" w:rsidDel="00000000" w:rsidP="00000000" w:rsidRDefault="00000000" w:rsidRPr="00000000" w14:paraId="00000005">
            <w:pPr>
              <w:spacing w:after="0" w:before="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Marman Climate Smart Technology</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06">
            <w:pPr>
              <w:spacing w:after="60" w:before="60" w:lineRule="auto"/>
              <w:jc w:val="left"/>
              <w:rPr>
                <w:rFonts w:ascii="Arial" w:cs="Arial" w:eastAsia="Arial" w:hAnsi="Arial"/>
              </w:rPr>
            </w:pPr>
            <w:r w:rsidDel="00000000" w:rsidR="00000000" w:rsidRPr="00000000">
              <w:rPr>
                <w:rFonts w:ascii="Arial" w:cs="Arial" w:eastAsia="Arial" w:hAnsi="Arial"/>
                <w:color w:val="f5e6a3"/>
                <w:sz w:val="17"/>
                <w:szCs w:val="17"/>
                <w:rtl w:val="0"/>
              </w:rPr>
              <w:t xml:space="preserve">Website</w:t>
            </w:r>
            <w:r w:rsidDel="00000000" w:rsidR="00000000" w:rsidRPr="00000000">
              <w:rPr>
                <w:rtl w:val="0"/>
              </w:rPr>
            </w:r>
          </w:p>
          <w:p w:rsidR="00000000" w:rsidDel="00000000" w:rsidP="00000000" w:rsidRDefault="00000000" w:rsidRPr="00000000" w14:paraId="00000007">
            <w:pPr>
              <w:spacing w:after="0" w:before="0" w:lineRule="auto"/>
              <w:jc w:val="left"/>
              <w:rPr>
                <w:rFonts w:ascii="Arial" w:cs="Arial" w:eastAsia="Arial" w:hAnsi="Arial"/>
              </w:rPr>
            </w:pPr>
            <w:hyperlink r:id="rId9">
              <w:r w:rsidDel="00000000" w:rsidR="00000000" w:rsidRPr="00000000">
                <w:rPr>
                  <w:rFonts w:ascii="Arial" w:cs="Arial" w:eastAsia="Arial" w:hAnsi="Arial"/>
                  <w:b w:val="1"/>
                  <w:bCs w:val="1"/>
                  <w:color w:val="1155cc"/>
                  <w:u w:val="single"/>
                  <w:rtl w:val="0"/>
                </w:rPr>
                <w:t xml:space="preserve">https://marmangsv.com/</w:t>
              </w:r>
            </w:hyperlink>
            <w:r w:rsidDel="00000000" w:rsidR="00000000" w:rsidRPr="00000000">
              <w:rPr>
                <w:rtl w:val="0"/>
              </w:rPr>
            </w:r>
          </w:p>
        </w:tc>
      </w:tr>
    </w:tbl>
    <w:p w:rsidR="00000000" w:rsidDel="00000000" w:rsidP="00000000" w:rsidRDefault="00000000" w:rsidRPr="00000000" w14:paraId="00000008">
      <w:pPr>
        <w:spacing w:after="120" w:before="28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#1 Positives</w:t>
      </w:r>
      <w:r w:rsidDel="00000000" w:rsidR="00000000" w:rsidRPr="00000000">
        <w:pict>
          <v:rect style="width:0.0pt;height:1.5pt" o:hr="t" o:hrstd="t" o:hralign="center" fillcolor="#A0A0A0" stroked="f"/>
        </w:pict>
      </w:r>
      <w:r w:rsidDel="00000000" w:rsidR="00000000" w:rsidRPr="00000000">
        <w:rPr>
          <w:rtl w:val="0"/>
        </w:rPr>
      </w:r>
    </w:p>
    <w:sdt>
      <w:sdtPr>
        <w:lock w:val="contentLocked"/>
        <w:id w:val="-176949527"/>
        <w:tag w:val="goog_rdk_14"/>
      </w:sdtPr>
      <w:sdtContent>
        <w:tbl>
          <w:tblPr>
            <w:tblStyle w:val="Table2"/>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0"/>
            <w:gridCol w:w="9270"/>
            <w:tblGridChange w:id="0">
              <w:tblGrid>
                <w:gridCol w:w="810"/>
                <w:gridCol w:w="9270"/>
              </w:tblGrid>
            </w:tblGridChange>
          </w:tblGrid>
          <w:tr>
            <w:trPr>
              <w:cantSplit w:val="0"/>
              <w:trHeight w:val="735" w:hRule="atLeast"/>
              <w:tblHeader w:val="0"/>
            </w:trPr>
            <w:sdt>
              <w:sdtPr>
                <w:lock w:val="contentLocked"/>
                <w:id w:val="-528943948"/>
                <w:tag w:val="goog_rdk_0"/>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09">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1</w:t>
                    </w:r>
                    <w:r w:rsidDel="00000000" w:rsidR="00000000" w:rsidRPr="00000000">
                      <w:rPr>
                        <w:rtl w:val="0"/>
                      </w:rPr>
                    </w:r>
                  </w:p>
                </w:tc>
              </w:sdtContent>
            </w:sdt>
            <w:sdt>
              <w:sdtPr>
                <w:lock w:val="contentLocked"/>
                <w:id w:val="-1498012985"/>
                <w:tag w:val="goog_rdk_1"/>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0A">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Deepak brings 30+ years of direct banking experience including $1B+ loan book management and 7+ years in sustainability finance. This is genuine founder-market fit rooted in banking practice, not sector evangelism. He understands the underwriting problem from the inside.</w:t>
                    </w:r>
                    <w:r w:rsidDel="00000000" w:rsidR="00000000" w:rsidRPr="00000000">
                      <w:rPr>
                        <w:rtl w:val="0"/>
                      </w:rPr>
                    </w:r>
                  </w:p>
                </w:tc>
              </w:sdtContent>
            </w:sdt>
          </w:tr>
          <w:tr>
            <w:trPr>
              <w:cantSplit w:val="0"/>
              <w:trHeight w:val="735" w:hRule="atLeast"/>
              <w:tblHeader w:val="0"/>
            </w:trPr>
            <w:sdt>
              <w:sdtPr>
                <w:lock w:val="contentLocked"/>
                <w:id w:val="888079958"/>
                <w:tag w:val="goog_rdk_2"/>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0B">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2</w:t>
                    </w:r>
                    <w:r w:rsidDel="00000000" w:rsidR="00000000" w:rsidRPr="00000000">
                      <w:rPr>
                        <w:rtl w:val="0"/>
                      </w:rPr>
                    </w:r>
                  </w:p>
                </w:tc>
              </w:sdtContent>
            </w:sdt>
            <w:sdt>
              <w:sdtPr>
                <w:lock w:val="contentLocked"/>
                <w:id w:val="-1532004289"/>
                <w:tag w:val="goog_rdk_3"/>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0C">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The dual underwriting model separating performance risk (vendor guarantee) from credit risk (borrower underwriting) is a structurally differentiated approach to cleantech lending. No direct Indian competitor has replicated this structure. If it holds at scale, it is a real moat.</w:t>
                    </w:r>
                    <w:r w:rsidDel="00000000" w:rsidR="00000000" w:rsidRPr="00000000">
                      <w:rPr>
                        <w:rtl w:val="0"/>
                      </w:rPr>
                    </w:r>
                  </w:p>
                </w:tc>
              </w:sdtContent>
            </w:sdt>
          </w:tr>
          <w:tr>
            <w:trPr>
              <w:cantSplit w:val="0"/>
              <w:trHeight w:val="495" w:hRule="atLeast"/>
              <w:tblHeader w:val="0"/>
            </w:trPr>
            <w:sdt>
              <w:sdtPr>
                <w:lock w:val="contentLocked"/>
                <w:id w:val="-458942036"/>
                <w:tag w:val="goog_rdk_4"/>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0D">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3</w:t>
                    </w:r>
                    <w:r w:rsidDel="00000000" w:rsidR="00000000" w:rsidRPr="00000000">
                      <w:rPr>
                        <w:rtl w:val="0"/>
                      </w:rPr>
                    </w:r>
                  </w:p>
                </w:tc>
              </w:sdtContent>
            </w:sdt>
            <w:sdt>
              <w:sdtPr>
                <w:lock w:val="contentLocked"/>
                <w:id w:val="-124022625"/>
                <w:tag w:val="goog_rdk_5"/>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0E">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Zero delinquency on the current portfolio is a strong early signal for a segment that mainstream banks decline. It suggests the underwriting discipline is functioning, and the 7 to 9 of 10 rejection rate is generating a high-quality book.</w:t>
                    </w:r>
                    <w:r w:rsidDel="00000000" w:rsidR="00000000" w:rsidRPr="00000000">
                      <w:rPr>
                        <w:rtl w:val="0"/>
                      </w:rPr>
                    </w:r>
                  </w:p>
                </w:tc>
              </w:sdtContent>
            </w:sdt>
          </w:tr>
          <w:tr>
            <w:trPr>
              <w:cantSplit w:val="0"/>
              <w:trHeight w:val="495" w:hRule="atLeast"/>
              <w:tblHeader w:val="0"/>
            </w:trPr>
            <w:sdt>
              <w:sdtPr>
                <w:lock w:val="contentLocked"/>
                <w:id w:val="-1377367330"/>
                <w:tag w:val="goog_rdk_6"/>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0F">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4</w:t>
                    </w:r>
                    <w:r w:rsidDel="00000000" w:rsidR="00000000" w:rsidRPr="00000000">
                      <w:rPr>
                        <w:rtl w:val="0"/>
                      </w:rPr>
                    </w:r>
                  </w:p>
                </w:tc>
              </w:sdtContent>
            </w:sdt>
            <w:sdt>
              <w:sdtPr>
                <w:lock w:val="contentLocked"/>
                <w:id w:val="143731226"/>
                <w:tag w:val="goog_rdk_7"/>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0">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PAT positive month-on-month at current scale is rare for a 3-person own-books lender at early stage. The unit economics are demonstrably positive before growth capex, which means the core model works.</w:t>
                    </w:r>
                    <w:r w:rsidDel="00000000" w:rsidR="00000000" w:rsidRPr="00000000">
                      <w:rPr>
                        <w:rtl w:val="0"/>
                      </w:rPr>
                    </w:r>
                  </w:p>
                </w:tc>
              </w:sdtContent>
            </w:sdt>
          </w:tr>
          <w:tr>
            <w:trPr>
              <w:cantSplit w:val="0"/>
              <w:trHeight w:val="495" w:hRule="atLeast"/>
              <w:tblHeader w:val="0"/>
            </w:trPr>
            <w:sdt>
              <w:sdtPr>
                <w:lock w:val="contentLocked"/>
                <w:id w:val="341133379"/>
                <w:tag w:val="goog_rdk_8"/>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1">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5</w:t>
                    </w:r>
                    <w:r w:rsidDel="00000000" w:rsidR="00000000" w:rsidRPr="00000000">
                      <w:rPr>
                        <w:rtl w:val="0"/>
                      </w:rPr>
                    </w:r>
                  </w:p>
                </w:tc>
              </w:sdtContent>
            </w:sdt>
            <w:sdt>
              <w:sdtPr>
                <w:lock w:val="contentLocked"/>
                <w:id w:val="368470658"/>
                <w:tag w:val="goog_rdk_9"/>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2">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12x AUM growth on Rs 6 Cr of raised capital with zero delinquency is a credible proof point. The business has demonstrated it can generate and protect lending returns in the target segment on very lean capital.</w:t>
                    </w:r>
                    <w:r w:rsidDel="00000000" w:rsidR="00000000" w:rsidRPr="00000000">
                      <w:rPr>
                        <w:rtl w:val="0"/>
                      </w:rPr>
                    </w:r>
                  </w:p>
                </w:tc>
              </w:sdtContent>
            </w:sdt>
          </w:tr>
          <w:tr>
            <w:trPr>
              <w:cantSplit w:val="0"/>
              <w:trHeight w:val="495" w:hRule="atLeast"/>
              <w:tblHeader w:val="0"/>
            </w:trPr>
            <w:sdt>
              <w:sdtPr>
                <w:lock w:val="contentLocked"/>
                <w:id w:val="602998798"/>
                <w:tag w:val="goog_rdk_10"/>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3">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6</w:t>
                    </w:r>
                    <w:r w:rsidDel="00000000" w:rsidR="00000000" w:rsidRPr="00000000">
                      <w:rPr>
                        <w:rtl w:val="0"/>
                      </w:rPr>
                    </w:r>
                  </w:p>
                </w:tc>
              </w:sdtContent>
            </w:sdt>
            <w:sdt>
              <w:sdtPr>
                <w:lock w:val="contentLocked"/>
                <w:id w:val="-1624279695"/>
                <w:tag w:val="goog_rdk_11"/>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4">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Anurag Sood's background (IBM, Reuters, Arthur Andersen, serial US entrepreneur) is complementary to Deepak's banking profile. The technology and enterprise process dimension is relevant for the app-driven Phase 2 roadmap.</w:t>
                    </w:r>
                    <w:r w:rsidDel="00000000" w:rsidR="00000000" w:rsidRPr="00000000">
                      <w:rPr>
                        <w:rtl w:val="0"/>
                      </w:rPr>
                    </w:r>
                  </w:p>
                </w:tc>
              </w:sdtContent>
            </w:sdt>
          </w:tr>
          <w:tr>
            <w:trPr>
              <w:cantSplit w:val="0"/>
              <w:trHeight w:val="495" w:hRule="atLeast"/>
              <w:tblHeader w:val="0"/>
            </w:trPr>
            <w:sdt>
              <w:sdtPr>
                <w:lock w:val="contentLocked"/>
                <w:id w:val="1190913369"/>
                <w:tag w:val="goog_rdk_12"/>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5">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7</w:t>
                    </w:r>
                    <w:r w:rsidDel="00000000" w:rsidR="00000000" w:rsidRPr="00000000">
                      <w:rPr>
                        <w:rtl w:val="0"/>
                      </w:rPr>
                    </w:r>
                  </w:p>
                </w:tc>
              </w:sdtContent>
            </w:sdt>
            <w:sdt>
              <w:sdtPr>
                <w:lock w:val="contentLocked"/>
                <w:id w:val="-1275722674"/>
                <w:tag w:val="goog_rdk_13"/>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6">
                    <w:pPr>
                      <w:widowControl w:val="0"/>
                      <w:spacing w:line="276" w:lineRule="auto"/>
                      <w:rPr>
                        <w:rFonts w:ascii="Arial" w:cs="Arial" w:eastAsia="Arial" w:hAnsi="Arial"/>
                        <w:color w:val="000000"/>
                      </w:rPr>
                    </w:pPr>
                    <w:r w:rsidDel="00000000" w:rsidR="00000000" w:rsidRPr="00000000">
                      <w:rPr>
                        <w:rFonts w:ascii="Arial" w:cs="Arial" w:eastAsia="Arial" w:hAnsi="Arial"/>
                        <w:color w:val="9a7d0a"/>
                        <w:rtl w:val="0"/>
                      </w:rPr>
                      <w:t xml:space="preserve">Strong NBV thesis alignment: Tier 2 and 3 India, climate, financial inclusion for underserved SMEs and rural borrowers, early stage, sub-Rs 50 Cr check. On-paper fit is high.</w:t>
                    </w:r>
                    <w:r w:rsidDel="00000000" w:rsidR="00000000" w:rsidRPr="00000000">
                      <w:rPr>
                        <w:rtl w:val="0"/>
                      </w:rPr>
                    </w:r>
                  </w:p>
                </w:tc>
              </w:sdtContent>
            </w:sdt>
          </w:tr>
        </w:tbl>
      </w:sdtContent>
    </w:sdt>
    <w:p w:rsidR="00000000" w:rsidDel="00000000" w:rsidP="00000000" w:rsidRDefault="00000000" w:rsidRPr="00000000" w14:paraId="00000017">
      <w:pPr>
        <w:spacing w:after="120" w:before="280" w:lineRule="auto"/>
        <w:rPr>
          <w:rFonts w:ascii="Arial" w:cs="Arial" w:eastAsia="Arial" w:hAnsi="Arial"/>
        </w:rPr>
      </w:pPr>
      <w:r w:rsidDel="00000000" w:rsidR="00000000" w:rsidRPr="00000000">
        <w:rPr>
          <w:rFonts w:ascii="Arial" w:cs="Arial" w:eastAsia="Arial" w:hAnsi="Arial"/>
          <w:b w:val="1"/>
          <w:bCs w:val="1"/>
          <w:color w:val="9a7d0a"/>
          <w:sz w:val="22"/>
          <w:szCs w:val="22"/>
          <w:rtl w:val="0"/>
        </w:rPr>
        <w:t xml:space="preserve">#2 Key Concerns and Flags</w:t>
      </w:r>
      <w:r w:rsidDel="00000000" w:rsidR="00000000" w:rsidRPr="00000000">
        <w:pict>
          <v:rect style="width:0.0pt;height:1.5pt" o:hr="t" o:hrstd="t" o:hralign="center" fillcolor="#A0A0A0" stroked="f"/>
        </w:pict>
      </w:r>
      <w:r w:rsidDel="00000000" w:rsidR="00000000" w:rsidRPr="00000000">
        <w:rPr>
          <w:rtl w:val="0"/>
        </w:rPr>
      </w:r>
    </w:p>
    <w:sdt>
      <w:sdtPr>
        <w:lock w:val="contentLocked"/>
        <w:id w:val="-1679931924"/>
        <w:tag w:val="goog_rdk_29"/>
      </w:sdtPr>
      <w:sdtContent>
        <w:tbl>
          <w:tblPr>
            <w:tblStyle w:val="Table3"/>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9225"/>
            <w:tblGridChange w:id="0">
              <w:tblGrid>
                <w:gridCol w:w="855"/>
                <w:gridCol w:w="9225"/>
              </w:tblGrid>
            </w:tblGridChange>
          </w:tblGrid>
          <w:tr>
            <w:trPr>
              <w:cantSplit w:val="0"/>
              <w:trHeight w:val="975" w:hRule="atLeast"/>
              <w:tblHeader w:val="0"/>
            </w:trPr>
            <w:sdt>
              <w:sdtPr>
                <w:lock w:val="contentLocked"/>
                <w:id w:val="530268025"/>
                <w:tag w:val="goog_rdk_15"/>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8">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1</w:t>
                    </w:r>
                    <w:r w:rsidDel="00000000" w:rsidR="00000000" w:rsidRPr="00000000">
                      <w:rPr>
                        <w:rtl w:val="0"/>
                      </w:rPr>
                    </w:r>
                  </w:p>
                </w:tc>
              </w:sdtContent>
            </w:sdt>
            <w:sdt>
              <w:sdtPr>
                <w:lock w:val="contentLocked"/>
                <w:id w:val="2146611622"/>
                <w:tag w:val="goog_rdk_16"/>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9">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Rs 6.8 Cr AUM on Rs 6 Cr equity is near-100% capital utilisation. Reaching Rs 20 Cr NII ARR requires approximately Rs 130 to 150 Cr AUM, a 20x increase. This is structurally impossible from an equity raise alone. It requires NBFC licensing or co-lending arrangements. The current raise may not be sufficient to bridge this gap. Deepak acknowledged the constraint in the call but the co-lending or licensing pipeline was not concrete. This is the single most important structural risk</w:t>
                    </w:r>
                    <w:r w:rsidDel="00000000" w:rsidR="00000000" w:rsidRPr="00000000">
                      <w:rPr>
                        <w:rtl w:val="0"/>
                      </w:rPr>
                    </w:r>
                  </w:p>
                </w:tc>
              </w:sdtContent>
            </w:sdt>
          </w:tr>
          <w:tr>
            <w:trPr>
              <w:cantSplit w:val="0"/>
              <w:trHeight w:val="975" w:hRule="atLeast"/>
              <w:tblHeader w:val="0"/>
            </w:trPr>
            <w:sdt>
              <w:sdtPr>
                <w:lock w:val="contentLocked"/>
                <w:id w:val="-1563148077"/>
                <w:tag w:val="goog_rdk_17"/>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A">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2</w:t>
                    </w:r>
                    <w:r w:rsidDel="00000000" w:rsidR="00000000" w:rsidRPr="00000000">
                      <w:rPr>
                        <w:rtl w:val="0"/>
                      </w:rPr>
                    </w:r>
                  </w:p>
                </w:tc>
              </w:sdtContent>
            </w:sdt>
            <w:sdt>
              <w:sdtPr>
                <w:lock w:val="contentLocked"/>
                <w:id w:val="1564880448"/>
                <w:tag w:val="goog_rdk_18"/>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B">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Rs 60 Cr cap on the SAFE implies a significant premium to current fundamentals: Rs 6.8 Cr AUM and Rs 1 Cr NII ARR. At Rs 48 to 60 Cr, NBV is paying for an option on the NBFC unlock and the AUM trajectory, both of which are unproven at scale. Sachin flagged Rs 50 Cr+ as challenging for NBV. This gap must be resolved before term sheet. Explore whether the SAFE cap can be renegotiated or whether there is a milestone-linked structure.</w:t>
                    </w:r>
                    <w:r w:rsidDel="00000000" w:rsidR="00000000" w:rsidRPr="00000000">
                      <w:rPr>
                        <w:rtl w:val="0"/>
                      </w:rPr>
                    </w:r>
                  </w:p>
                </w:tc>
              </w:sdtContent>
            </w:sdt>
          </w:tr>
          <w:tr>
            <w:trPr>
              <w:cantSplit w:val="0"/>
              <w:trHeight w:val="975" w:hRule="atLeast"/>
              <w:tblHeader w:val="0"/>
            </w:trPr>
            <w:sdt>
              <w:sdtPr>
                <w:lock w:val="contentLocked"/>
                <w:id w:val="-1950023883"/>
                <w:tag w:val="goog_rdk_19"/>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C">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3</w:t>
                    </w:r>
                    <w:r w:rsidDel="00000000" w:rsidR="00000000" w:rsidRPr="00000000">
                      <w:rPr>
                        <w:rtl w:val="0"/>
                      </w:rPr>
                    </w:r>
                  </w:p>
                </w:tc>
              </w:sdtContent>
            </w:sdt>
            <w:sdt>
              <w:sdtPr>
                <w:lock w:val="contentLocked"/>
                <w:id w:val="-947805612"/>
                <w:tag w:val="goog_rdk_20"/>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D">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The vendor performance guarantee is the structural foundation of Marman's underwriting model. As of the call, no vendor has underperformed to the point of triggering the guarantee. The legal instrument, enforcement mechanism, and vendor financial capacity to pay have not been validated under real conditions. If the first triggered guarantee is disputed or unpaid, the model's risk thesis unravels entirely.</w:t>
                    </w:r>
                    <w:r w:rsidDel="00000000" w:rsidR="00000000" w:rsidRPr="00000000">
                      <w:rPr>
                        <w:rtl w:val="0"/>
                      </w:rPr>
                    </w:r>
                  </w:p>
                </w:tc>
              </w:sdtContent>
            </w:sdt>
          </w:tr>
          <w:tr>
            <w:trPr>
              <w:cantSplit w:val="0"/>
              <w:trHeight w:val="975" w:hRule="atLeast"/>
              <w:tblHeader w:val="0"/>
            </w:trPr>
            <w:sdt>
              <w:sdtPr>
                <w:lock w:val="contentLocked"/>
                <w:id w:val="-2046522179"/>
                <w:tag w:val="goog_rdk_21"/>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1E">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4</w:t>
                    </w:r>
                    <w:r w:rsidDel="00000000" w:rsidR="00000000" w:rsidRPr="00000000">
                      <w:rPr>
                        <w:rtl w:val="0"/>
                      </w:rPr>
                    </w:r>
                  </w:p>
                </w:tc>
              </w:sdtContent>
            </w:sdt>
            <w:sdt>
              <w:sdtPr>
                <w:lock w:val="contentLocked"/>
                <w:id w:val="-1011145876"/>
                <w:tag w:val="goog_rdk_22"/>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F">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3 employees. Finance and compliance outsourced. The post-raise plan calls for 5 to 10 BD FTEs plus risk and credit hires in Year 1, followed by 25 to 30 BD plus 5 to 10 product and app plus 15 support in Year 2. This hiring ramp is aggressive for a niche cleantech fintech in Tier 2 and 3 markets. No concrete hiring plan or candidate pipeline was mentioned in the call. Who is responsible for hiring and what is the compensation model for feet-on-street BD in these markets?</w:t>
                    </w:r>
                    <w:r w:rsidDel="00000000" w:rsidR="00000000" w:rsidRPr="00000000">
                      <w:rPr>
                        <w:rtl w:val="0"/>
                      </w:rPr>
                    </w:r>
                  </w:p>
                </w:tc>
              </w:sdtContent>
            </w:sdt>
          </w:tr>
          <w:tr>
            <w:trPr>
              <w:cantSplit w:val="0"/>
              <w:trHeight w:val="975" w:hRule="atLeast"/>
              <w:tblHeader w:val="0"/>
            </w:trPr>
            <w:sdt>
              <w:sdtPr>
                <w:lock w:val="contentLocked"/>
                <w:id w:val="1754325393"/>
                <w:tag w:val="goog_rdk_23"/>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0">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5</w:t>
                    </w:r>
                    <w:r w:rsidDel="00000000" w:rsidR="00000000" w:rsidRPr="00000000">
                      <w:rPr>
                        <w:rtl w:val="0"/>
                      </w:rPr>
                    </w:r>
                  </w:p>
                </w:tc>
              </w:sdtContent>
            </w:sdt>
            <w:sdt>
              <w:sdtPr>
                <w:lock w:val="contentLocked"/>
                <w:id w:val="-461764815"/>
                <w:tag w:val="goog_rdk_24"/>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21">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Anurag Sood was not on the discovery call. Deepak described him as full-time and committed, but NBV has not verified this directly. A California-based co-founder building a Tier 2 and 3 India cleantech fintech is an unusual arrangement that requires direct validation. NBV must have Anurag on the follow-up call and must assess his specific functional contribution, day-to-day involvement, and alignment with the India growth plan.</w:t>
                    </w:r>
                    <w:r w:rsidDel="00000000" w:rsidR="00000000" w:rsidRPr="00000000">
                      <w:rPr>
                        <w:rtl w:val="0"/>
                      </w:rPr>
                    </w:r>
                  </w:p>
                </w:tc>
              </w:sdtContent>
            </w:sdt>
          </w:tr>
          <w:tr>
            <w:trPr>
              <w:cantSplit w:val="0"/>
              <w:trHeight w:val="975" w:hRule="atLeast"/>
              <w:tblHeader w:val="0"/>
            </w:trPr>
            <w:sdt>
              <w:sdtPr>
                <w:lock w:val="contentLocked"/>
                <w:id w:val="1951901906"/>
                <w:tag w:val="goog_rdk_25"/>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2">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6</w:t>
                    </w:r>
                    <w:r w:rsidDel="00000000" w:rsidR="00000000" w:rsidRPr="00000000">
                      <w:rPr>
                        <w:rtl w:val="0"/>
                      </w:rPr>
                    </w:r>
                  </w:p>
                </w:tc>
              </w:sdtContent>
            </w:sdt>
            <w:sdt>
              <w:sdtPr>
                <w:lock w:val="contentLocked"/>
                <w:id w:val="-1019578884"/>
                <w:tag w:val="goog_rdk_26"/>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23">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Loan count, average ticket size, and borrower distribution were not disclosed. Rs 6.8 Cr AUM concentrated in a small number of large tickets (5 to 8 borrowers at Rs 25L to 1 Cr each) is a very different risk profile from a granular portfolio. Zero delinquency on a concentrated portfolio is less reassuring than zero delinquency on 50+ loans. Portfolio granularity is a critical diligence item before Stage 3.</w:t>
                    </w:r>
                    <w:r w:rsidDel="00000000" w:rsidR="00000000" w:rsidRPr="00000000">
                      <w:rPr>
                        <w:rtl w:val="0"/>
                      </w:rPr>
                    </w:r>
                  </w:p>
                </w:tc>
              </w:sdtContent>
            </w:sdt>
          </w:tr>
          <w:tr>
            <w:trPr>
              <w:cantSplit w:val="0"/>
              <w:trHeight w:val="735" w:hRule="atLeast"/>
              <w:tblHeader w:val="0"/>
            </w:trPr>
            <w:sdt>
              <w:sdtPr>
                <w:lock w:val="contentLocked"/>
                <w:id w:val="-161694914"/>
                <w:tag w:val="goog_rdk_27"/>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24">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7</w:t>
                    </w:r>
                    <w:r w:rsidDel="00000000" w:rsidR="00000000" w:rsidRPr="00000000">
                      <w:rPr>
                        <w:rtl w:val="0"/>
                      </w:rPr>
                    </w:r>
                  </w:p>
                </w:tc>
              </w:sdtContent>
            </w:sdt>
            <w:sdt>
              <w:sdtPr>
                <w:lock w:val="contentLocked"/>
                <w:id w:val="-1231028135"/>
                <w:tag w:val="goog_rdk_28"/>
              </w:sdtPr>
              <w:sdtContent>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25">
                    <w:pPr>
                      <w:widowControl w:val="0"/>
                      <w:spacing w:line="276" w:lineRule="auto"/>
                      <w:rPr>
                        <w:rFonts w:ascii="Arial" w:cs="Arial" w:eastAsia="Arial" w:hAnsi="Arial"/>
                        <w:color w:val="000000"/>
                      </w:rPr>
                    </w:pPr>
                    <w:r w:rsidDel="00000000" w:rsidR="00000000" w:rsidRPr="00000000">
                      <w:rPr>
                        <w:rFonts w:ascii="Arial" w:cs="Arial" w:eastAsia="Arial" w:hAnsi="Arial"/>
                        <w:color w:val="5c0000"/>
                        <w:rtl w:val="0"/>
                      </w:rPr>
                      <w:t xml:space="preserve">Carbon credits are flagged as a revenue stream. They are realistically 3 to 5 years from materialising at any meaningful scale. NBV must confirm that Phase 1 and Phase 2 financial models exclude this stream. If projections include carbon credit revenue, the numbers are not reliable as a basis for investment.</w:t>
                    </w:r>
                    <w:r w:rsidDel="00000000" w:rsidR="00000000" w:rsidRPr="00000000">
                      <w:rPr>
                        <w:rtl w:val="0"/>
                      </w:rPr>
                    </w:r>
                  </w:p>
                </w:tc>
              </w:sdtContent>
            </w:sdt>
          </w:tr>
        </w:tbl>
      </w:sdtContent>
    </w:sdt>
    <w:p w:rsidR="00000000" w:rsidDel="00000000" w:rsidP="00000000" w:rsidRDefault="00000000" w:rsidRPr="00000000" w14:paraId="00000026">
      <w:pPr>
        <w:spacing w:after="0" w:before="0" w:lineRule="auto"/>
        <w:rPr>
          <w:rFonts w:ascii="Arial" w:cs="Arial" w:eastAsia="Arial" w:hAnsi="Arial"/>
          <w:b w:val="1"/>
          <w:bCs w:val="1"/>
          <w:color w:val="9a7d0a"/>
          <w:sz w:val="28"/>
          <w:szCs w:val="28"/>
        </w:rPr>
      </w:pPr>
      <w:r w:rsidDel="00000000" w:rsidR="00000000" w:rsidRPr="00000000">
        <w:rPr>
          <w:rtl w:val="0"/>
        </w:rPr>
      </w:r>
    </w:p>
    <w:p w:rsidR="00000000" w:rsidDel="00000000" w:rsidP="00000000" w:rsidRDefault="00000000" w:rsidRPr="00000000" w14:paraId="00000027">
      <w:pPr>
        <w:spacing w:after="0" w:before="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#3 Areas to Double Down (Stage 2)</w:t>
      </w:r>
    </w:p>
    <w:p w:rsidR="00000000" w:rsidDel="00000000" w:rsidP="00000000" w:rsidRDefault="00000000" w:rsidRPr="00000000" w14:paraId="00000028">
      <w:pPr>
        <w:spacing w:after="0" w:before="0" w:lineRule="auto"/>
        <w:rPr>
          <w:rFonts w:ascii="Arial" w:cs="Arial" w:eastAsia="Arial" w:hAnsi="Arial"/>
          <w:b w:val="1"/>
          <w:bCs w:val="1"/>
          <w:color w:val="9a7d0a"/>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spacing w:after="60" w:before="60" w:lineRule="auto"/>
        <w:rPr>
          <w:rFonts w:ascii="Arial" w:cs="Arial" w:eastAsia="Arial" w:hAnsi="Arial"/>
        </w:rPr>
      </w:pPr>
      <w:r w:rsidDel="00000000" w:rsidR="00000000" w:rsidRPr="00000000">
        <w:rPr>
          <w:rFonts w:ascii="Arial" w:cs="Arial" w:eastAsia="Arial" w:hAnsi="Arial"/>
          <w:color w:val="2c2c2c"/>
          <w:rtl w:val="0"/>
        </w:rPr>
        <w:t xml:space="preserve">Key focus areas and open questions for the next evaluation stage:</w:t>
      </w:r>
      <w:r w:rsidDel="00000000" w:rsidR="00000000" w:rsidRPr="00000000">
        <w:rPr>
          <w:rtl w:val="0"/>
        </w:rPr>
      </w:r>
    </w:p>
    <w:tbl>
      <w:tblPr>
        <w:tblStyle w:val="Table4"/>
        <w:tblW w:w="100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9405"/>
        <w:tblGridChange w:id="0">
          <w:tblGrid>
            <w:gridCol w:w="600"/>
            <w:gridCol w:w="9405"/>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2A">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rtl w:val="0"/>
              </w:rPr>
              <w:t xml:space="preserv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2B">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rtl w:val="0"/>
              </w:rPr>
              <w:t xml:space="preserve">Focus Area</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2C">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1</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2D">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NBFC license as the critical unlock: Marman's own-books lending model is capital-constrained by design. Reaching Rs 20 Cr ARR requires an AUM base that is not achievable without either NBFC licensing (Rs 10 Cr equity required) or co-lending partnerships. The current raise, if successful, would put Marman at the equity threshold, but the license process and co-lending pipeline must already be active.</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2E">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2</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2F">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Vendor performance guarantee, tested or theoretical: The dual underwriting model is Marman's defining differentiator, and it works only if vendors actually honour the performance guarantee when assets underperform. Has any vendor ever triggered the guarantee? Was it paid? What is the enforcement mechanism? This is the most important operational question before Stage 3.</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0">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3</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1">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Both co-founders present and committed: Anurag Sood was not on the discovery call. NBV must meet both founders together. Anurag's day-to-day role and his commitment level to the India business must be validated directly, not via Deepak's description.</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32">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4</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33">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Portfolio granularity and concentration risk: Rs 6.8 Cr AUM with zero delinquency is a strong signal, but only if the portfolio is reasonably granular. If AUM is concentrated in 5 to 8 large tickets, a single event could create a material NPA. Loan count, average ticket size, and borrower distribution must be obtained before Stage 3.</w:t>
            </w:r>
            <w:r w:rsidDel="00000000" w:rsidR="00000000" w:rsidRPr="00000000">
              <w:rPr>
                <w:rtl w:val="0"/>
              </w:rPr>
            </w:r>
          </w:p>
        </w:tc>
      </w:tr>
    </w:tbl>
    <w:p w:rsidR="00000000" w:rsidDel="00000000" w:rsidP="00000000" w:rsidRDefault="00000000" w:rsidRPr="00000000" w14:paraId="00000034">
      <w:pPr>
        <w:spacing w:after="120" w:before="280" w:lineRule="auto"/>
        <w:rPr>
          <w:rFonts w:ascii="Arial" w:cs="Arial" w:eastAsia="Arial" w:hAnsi="Arial"/>
          <w:sz w:val="14"/>
          <w:szCs w:val="14"/>
        </w:rPr>
      </w:pPr>
      <w:r w:rsidDel="00000000" w:rsidR="00000000" w:rsidRPr="00000000">
        <w:rPr>
          <w:rFonts w:ascii="Arial" w:cs="Arial" w:eastAsia="Arial" w:hAnsi="Arial"/>
          <w:b w:val="1"/>
          <w:bCs w:val="1"/>
          <w:color w:val="9a7d0a"/>
          <w:sz w:val="22"/>
          <w:szCs w:val="22"/>
          <w:rtl w:val="0"/>
        </w:rPr>
        <w:t xml:space="preserve">#4 About the Company</w:t>
      </w:r>
      <w:r w:rsidDel="00000000" w:rsidR="00000000" w:rsidRPr="00000000">
        <w:rPr>
          <w:rtl w:val="0"/>
        </w:rPr>
      </w:r>
    </w:p>
    <w:p w:rsidR="00000000" w:rsidDel="00000000" w:rsidP="00000000" w:rsidRDefault="00000000" w:rsidRPr="00000000" w14:paraId="00000035">
      <w:pPr>
        <w:spacing w:after="60" w:before="60" w:lineRule="auto"/>
        <w:rPr>
          <w:rFonts w:ascii="Arial" w:cs="Arial" w:eastAsia="Arial" w:hAnsi="Arial"/>
        </w:rPr>
      </w:pPr>
      <w:r w:rsidDel="00000000" w:rsidR="00000000" w:rsidRPr="00000000">
        <w:rPr>
          <w:rFonts w:ascii="Arial" w:cs="Arial" w:eastAsia="Arial" w:hAnsi="Arial"/>
          <w:color w:val="2c2c2c"/>
          <w:rtl w:val="0"/>
        </w:rPr>
        <w:t xml:space="preserve">Marman Climate Smart Technology is a CleanTech-as-a-Service (CTaaS) company targeting underserved India: SMEs, farmers, and rural households excluded from mainstream cleantech financing due to absence of collateral and thin credit histories.</w:t>
      </w:r>
      <w:r w:rsidDel="00000000" w:rsidR="00000000" w:rsidRPr="00000000">
        <w:rPr>
          <w:rtl w:val="0"/>
        </w:rPr>
      </w:r>
    </w:p>
    <w:p w:rsidR="00000000" w:rsidDel="00000000" w:rsidP="00000000" w:rsidRDefault="00000000" w:rsidRPr="00000000" w14:paraId="00000036">
      <w:pPr>
        <w:spacing w:after="60" w:before="60" w:lineRule="auto"/>
        <w:rPr>
          <w:rFonts w:ascii="Arial" w:cs="Arial" w:eastAsia="Arial" w:hAnsi="Arial"/>
        </w:rPr>
      </w:pPr>
      <w:r w:rsidDel="00000000" w:rsidR="00000000" w:rsidRPr="00000000">
        <w:rPr>
          <w:rFonts w:ascii="Arial" w:cs="Arial" w:eastAsia="Arial" w:hAnsi="Arial"/>
          <w:b w:val="1"/>
          <w:bCs w:val="1"/>
          <w:color w:val="2c2c2c"/>
          <w:rtl w:val="0"/>
        </w:rPr>
        <w:t xml:space="preserve">The model bundles three components into a single end-to-end service:</w:t>
      </w:r>
      <w:r w:rsidDel="00000000" w:rsidR="00000000" w:rsidRPr="00000000">
        <w:rPr>
          <w:rtl w:val="0"/>
        </w:rPr>
      </w:r>
    </w:p>
    <w:tbl>
      <w:tblPr>
        <w:tblStyle w:val="Table5"/>
        <w:tblW w:w="10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7860"/>
        <w:tblGridChange w:id="0">
          <w:tblGrid>
            <w:gridCol w:w="2400"/>
            <w:gridCol w:w="7860"/>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37">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rtl w:val="0"/>
              </w:rPr>
              <w:t xml:space="preserve">Component</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38">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rtl w:val="0"/>
              </w:rPr>
              <w:t xml:space="preserve">What It Does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9">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Zero-Collateral Asset Finance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A">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Bespoke financing for rooftop solar, energy efficiency, EVs, and green appliances. Structured as Marman Loan (EMI, depreciation to borrower) or Marman Lease (PPA, depreciation to Marman). Ticket: Rs 25L to 1 Cr. Rate: Rs 7.5/kWh, 5-year tenure.</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3B">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Vendor Performance Guarantee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3C">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Curated vendor partners guarantee asset performance (e.g., 1,250 kWh/kWp/year for solar). If underperformed, vendor pays Marman, not the borrower. This separates ability-to-pay risk from willingness-to-pay risk. No direct competitor offers this structure.</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D">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Green Marketplace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E">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rtl w:val="0"/>
              </w:rPr>
              <w:t xml:space="preserve">Supply chain layer connecting borrowers to curated green product and service vendors. Marman earns supply chain margins independent of the financing spread.</w:t>
            </w:r>
            <w:r w:rsidDel="00000000" w:rsidR="00000000" w:rsidRPr="00000000">
              <w:rPr>
                <w:rtl w:val="0"/>
              </w:rPr>
            </w:r>
          </w:p>
        </w:tc>
      </w:tr>
    </w:tbl>
    <w:p w:rsidR="00000000" w:rsidDel="00000000" w:rsidP="00000000" w:rsidRDefault="00000000" w:rsidRPr="00000000" w14:paraId="0000003F">
      <w:pPr>
        <w:spacing w:after="60" w:before="60" w:lineRule="auto"/>
        <w:rPr>
          <w:rFonts w:ascii="Arial" w:cs="Arial" w:eastAsia="Arial" w:hAnsi="Arial"/>
        </w:rPr>
      </w:pPr>
      <w:r w:rsidDel="00000000" w:rsidR="00000000" w:rsidRPr="00000000">
        <w:rPr>
          <w:rFonts w:ascii="Arial" w:cs="Arial" w:eastAsia="Arial" w:hAnsi="Arial"/>
          <w:color w:val="2c2c2c"/>
          <w:rtl w:val="0"/>
        </w:rPr>
        <w:t xml:space="preserve">Asset classes financed: rooftop solar, energy efficiency retrofits, waste management, green appliances, electric trucks and buses, solar agri-appliances, mini-grids.</w:t>
      </w:r>
      <w:r w:rsidDel="00000000" w:rsidR="00000000" w:rsidRPr="00000000">
        <w:rPr>
          <w:rtl w:val="0"/>
        </w:rPr>
      </w:r>
    </w:p>
    <w:p w:rsidR="00000000" w:rsidDel="00000000" w:rsidP="00000000" w:rsidRDefault="00000000" w:rsidRPr="00000000" w14:paraId="00000040">
      <w:pPr>
        <w:spacing w:after="60" w:before="60" w:lineRule="auto"/>
        <w:rPr>
          <w:rFonts w:ascii="Arial" w:cs="Arial" w:eastAsia="Arial" w:hAnsi="Arial"/>
        </w:rPr>
      </w:pPr>
      <w:r w:rsidDel="00000000" w:rsidR="00000000" w:rsidRPr="00000000">
        <w:rPr>
          <w:rFonts w:ascii="Arial" w:cs="Arial" w:eastAsia="Arial" w:hAnsi="Arial"/>
          <w:color w:val="2c2c2c"/>
          <w:rtl w:val="0"/>
        </w:rPr>
        <w:t xml:space="preserve">Three LLPs formed (April, July, September 2024). Marman PLC (subsidiary) incorporated April 2025. Currently lending from own books, 100% AUM on-balance-sheet</w:t>
      </w:r>
      <w:r w:rsidDel="00000000" w:rsidR="00000000" w:rsidRPr="00000000">
        <w:rPr>
          <w:rFonts w:ascii="Arial" w:cs="Arial" w:eastAsia="Arial" w:hAnsi="Arial"/>
          <w:rtl w:val="0"/>
        </w:rPr>
        <w:t xml:space="preserve">.</w:t>
      </w:r>
    </w:p>
    <w:p w:rsidR="00000000" w:rsidDel="00000000" w:rsidP="00000000" w:rsidRDefault="00000000" w:rsidRPr="00000000" w14:paraId="00000041">
      <w:pPr>
        <w:spacing w:after="120" w:before="280" w:lineRule="auto"/>
        <w:rPr>
          <w:rFonts w:ascii="Arial" w:cs="Arial" w:eastAsia="Arial" w:hAnsi="Arial"/>
          <w:sz w:val="22"/>
          <w:szCs w:val="22"/>
        </w:rPr>
      </w:pPr>
      <w:r w:rsidDel="00000000" w:rsidR="00000000" w:rsidRPr="00000000">
        <w:rPr>
          <w:rFonts w:ascii="Arial" w:cs="Arial" w:eastAsia="Arial" w:hAnsi="Arial"/>
          <w:b w:val="1"/>
          <w:bCs w:val="1"/>
          <w:color w:val="9a7d0a"/>
          <w:sz w:val="22"/>
          <w:szCs w:val="22"/>
          <w:rtl w:val="0"/>
        </w:rPr>
        <w:t xml:space="preserve">#6 Founder Profiles</w:t>
      </w:r>
      <w:r w:rsidDel="00000000" w:rsidR="00000000" w:rsidRPr="00000000">
        <w:pict>
          <v:rect style="width:0.0pt;height:1.5pt" o:hr="t" o:hrstd="t" o:hralign="center" fillcolor="#A0A0A0" stroked="f"/>
        </w:pict>
      </w:r>
      <w:r w:rsidDel="00000000" w:rsidR="00000000" w:rsidRPr="00000000">
        <w:rPr>
          <w:rFonts w:ascii="Arial" w:cs="Arial" w:eastAsia="Arial" w:hAnsi="Arial"/>
          <w:b w:val="1"/>
          <w:bCs w:val="1"/>
          <w:color w:val="9a7d0a"/>
          <w:sz w:val="22"/>
          <w:szCs w:val="22"/>
          <w:rtl w:val="0"/>
        </w:rPr>
        <w:t xml:space="preserve">Deepak Gupta, Co-Founder and CEO (38.46%)</w:t>
      </w:r>
      <w:r w:rsidDel="00000000" w:rsidR="00000000" w:rsidRPr="00000000">
        <w:rPr>
          <w:rtl w:val="0"/>
        </w:rPr>
      </w:r>
    </w:p>
    <w:tbl>
      <w:tblPr>
        <w:tblStyle w:val="Table6"/>
        <w:tblW w:w="10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7770"/>
        <w:tblGridChange w:id="0">
          <w:tblGrid>
            <w:gridCol w:w="2400"/>
            <w:gridCol w:w="7770"/>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42">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Attribute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43">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Details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44">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Role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45">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Co-Founder and CEO, based in Gurgaon, Haryana</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46">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Contact</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47">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+91 801 022-9404  |  info@marmangsv.com</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48">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LinkedIn</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49">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linkedin.com/in/deepakgupta-marman</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4A">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Banking career</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4B">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30+ years across ICICI Bank, HDFC, and international roles in Canada and South Africa. Has managed a $1B+ loan book.</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4C">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Sustainability finance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4D">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7+ years in sustainability finance prior to founding Marman.</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4E">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Entrepreneurial track</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4F">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Prior organic farming venture: 42 acres, subscription model. Relevant operational experience running a cash-flow-sensitive, asset-heavy SME in India.</w:t>
            </w:r>
            <w:r w:rsidDel="00000000" w:rsidR="00000000" w:rsidRPr="00000000">
              <w:rPr>
                <w:rtl w:val="0"/>
              </w:rPr>
            </w:r>
          </w:p>
        </w:tc>
      </w:tr>
    </w:tbl>
    <w:p w:rsidR="00000000" w:rsidDel="00000000" w:rsidP="00000000" w:rsidRDefault="00000000" w:rsidRPr="00000000" w14:paraId="00000050">
      <w:pPr>
        <w:spacing w:after="100" w:before="200" w:lineRule="auto"/>
        <w:rPr>
          <w:rFonts w:ascii="Arial" w:cs="Arial" w:eastAsia="Arial" w:hAnsi="Arial"/>
          <w:sz w:val="22"/>
          <w:szCs w:val="22"/>
        </w:rPr>
      </w:pPr>
      <w:r w:rsidDel="00000000" w:rsidR="00000000" w:rsidRPr="00000000">
        <w:rPr>
          <w:rFonts w:ascii="Arial" w:cs="Arial" w:eastAsia="Arial" w:hAnsi="Arial"/>
          <w:b w:val="1"/>
          <w:bCs w:val="1"/>
          <w:color w:val="9a7d0a"/>
          <w:sz w:val="22"/>
          <w:szCs w:val="22"/>
          <w:rtl w:val="0"/>
        </w:rPr>
        <w:t xml:space="preserve">Anurag Sood, Co-Founder (California, full-time)</w:t>
      </w:r>
      <w:r w:rsidDel="00000000" w:rsidR="00000000" w:rsidRPr="00000000">
        <w:rPr>
          <w:rtl w:val="0"/>
        </w:rPr>
      </w:r>
    </w:p>
    <w:tbl>
      <w:tblPr>
        <w:tblStyle w:val="Table7"/>
        <w:tblW w:w="10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7860"/>
        <w:tblGridChange w:id="0">
          <w:tblGrid>
            <w:gridCol w:w="2400"/>
            <w:gridCol w:w="7860"/>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51">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Attribute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52">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Details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53">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Role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54">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Co-Founder, based in California (described as full-time)</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55">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Contact</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56">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+1 510 304-9193</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57">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Career</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58">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30+ years across Arthur Andersen, Reuters, IBM, TeleTech, Mphasis. Enterprise technology, consulting, and process management.</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59">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Entrepreneurship</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5A">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Serial entrepreneur in the US: literacy programs and a plant-based marketplace.</w:t>
            </w:r>
            <w:r w:rsidDel="00000000" w:rsidR="00000000" w:rsidRPr="00000000">
              <w:rPr>
                <w:rtl w:val="0"/>
              </w:rPr>
            </w:r>
          </w:p>
        </w:tc>
      </w:tr>
    </w:tbl>
    <w:p w:rsidR="00000000" w:rsidDel="00000000" w:rsidP="00000000" w:rsidRDefault="00000000" w:rsidRPr="00000000" w14:paraId="0000005B">
      <w:pPr>
        <w:spacing w:after="120" w:before="28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#7 Why Did They Start?</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spacing w:after="60" w:before="60" w:lineRule="auto"/>
        <w:rPr>
          <w:rFonts w:ascii="Arial" w:cs="Arial" w:eastAsia="Arial" w:hAnsi="Arial"/>
        </w:rPr>
      </w:pPr>
      <w:r w:rsidDel="00000000" w:rsidR="00000000" w:rsidRPr="00000000">
        <w:rPr>
          <w:rFonts w:ascii="Arial" w:cs="Arial" w:eastAsia="Arial" w:hAnsi="Arial"/>
          <w:color w:val="2c2c2c"/>
          <w:sz w:val="21"/>
          <w:szCs w:val="21"/>
          <w:rtl w:val="0"/>
        </w:rPr>
        <w:t xml:space="preserve">Deepak's founding rationale, as he described it in the discovery call, is rooted in a structural financing gap he observed across 30 years of banking, not a pitch-deck impact narrative. What follows draws from call notes, not the deck.</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sz w:val="21"/>
          <w:szCs w:val="21"/>
          <w:u w:val="none"/>
          <w:shd w:fill="auto" w:val="clear"/>
          <w:vertAlign w:val="baseline"/>
          <w:rtl w:val="0"/>
        </w:rPr>
        <w:t xml:space="preserve">In his banking career managing large loan books at ICICI and HDFC, Deepak repeatedly encountered SME owners and rural borrowers with commercially viable cleantech projects who could not access finance. Banks declined them for lack of collateral. Traditional NBFCs priced the risk prohibitively. The gap was structural.</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sz w:val="21"/>
          <w:szCs w:val="21"/>
          <w:u w:val="none"/>
          <w:shd w:fill="auto" w:val="clear"/>
          <w:vertAlign w:val="baseline"/>
          <w:rtl w:val="0"/>
        </w:rPr>
        <w:t xml:space="preserve">His core insight, formed through lending practice rather than research, was that lenders were combining two different risk types: the borrower's ability to pay (linked to asset performance) and the borrower's willingness to pay (a separate credit question). Banks rejected everyone because they could not distinguish between the two. Marman's model was built to separate them.</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sz w:val="21"/>
          <w:szCs w:val="21"/>
          <w:u w:val="none"/>
          <w:shd w:fill="auto" w:val="clear"/>
          <w:vertAlign w:val="baseline"/>
          <w:rtl w:val="0"/>
        </w:rPr>
        <w:t xml:space="preserve">The vendor performance guarantee was not a regulatory innovation. It came from asking: if the solar panel generates the promised energy savings, will this borrower pay? In his experience, the answer was yes. The problem was vendor performance, not borrower intent. So he made vendors guarantee performance.</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sz w:val="21"/>
          <w:szCs w:val="21"/>
          <w:u w:val="none"/>
          <w:shd w:fill="auto" w:val="clear"/>
          <w:vertAlign w:val="baseline"/>
          <w:rtl w:val="0"/>
        </w:rPr>
        <w:t xml:space="preserve">His 7+ years in sustainability finance gave him direct knowledge of the clean energy market structure: where vendor networks existed, what performance benchmarks looked like, and why the underserved segment was commercially underserved rather than commercially unviable.</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sz w:val="21"/>
          <w:szCs w:val="21"/>
          <w:u w:val="none"/>
          <w:shd w:fill="auto" w:val="clear"/>
          <w:vertAlign w:val="baseline"/>
          <w:rtl w:val="0"/>
        </w:rPr>
        <w:t xml:space="preserve">The organic farming venture (subscription model, 42 acres) gave him a direct operator perspective on running a cash-flow-sensitive, asset-heavy business in non-metro India, which is relevant context for Marman's target borrower profile.</w:t>
      </w:r>
      <w:r w:rsidDel="00000000" w:rsidR="00000000" w:rsidRPr="00000000">
        <w:rPr>
          <w:rtl w:val="0"/>
        </w:rPr>
      </w:r>
    </w:p>
    <w:p w:rsidR="00000000" w:rsidDel="00000000" w:rsidP="00000000" w:rsidRDefault="00000000" w:rsidRPr="00000000" w14:paraId="00000062">
      <w:pPr>
        <w:spacing w:after="120" w:before="28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#8 Problem Statement and Solution</w:t>
      </w:r>
      <w:r w:rsidDel="00000000" w:rsidR="00000000" w:rsidRPr="00000000">
        <w:pict>
          <v:rect style="width:0.0pt;height:1.5pt" o:hr="t" o:hrstd="t" o:hralign="center" fillcolor="#A0A0A0" stroked="f"/>
        </w:pict>
      </w:r>
      <w:r w:rsidDel="00000000" w:rsidR="00000000" w:rsidRPr="00000000">
        <w:rPr>
          <w:rtl w:val="0"/>
        </w:rPr>
      </w:r>
    </w:p>
    <w:tbl>
      <w:tblPr>
        <w:tblStyle w:val="Table8"/>
        <w:tblW w:w="99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95"/>
        <w:gridCol w:w="3375"/>
        <w:gridCol w:w="3975"/>
        <w:tblGridChange w:id="0">
          <w:tblGrid>
            <w:gridCol w:w="2595"/>
            <w:gridCol w:w="3375"/>
            <w:gridCol w:w="3975"/>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63">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Problem</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64">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Current Reality</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65">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Marman's Answer</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66">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Cleantech finance exclusion for underserved segment</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67">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SMEs, farmers, and rural borrowers with viable projects cannot access cleantech finance. Banks require collateral. NBFCs price risk prohibitively. Mainstream cleantech financing flows almost entirely to large commercial customers.</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68">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Zero-collateral asset finance underwritten on projected savings from the asset, not borrower net worth.</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69">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Performance risk borne by the wrong party</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6A">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If a rooftop solar system underperforms due to poor installation or equipment failure, the borrower still owes EMIs regardless. Default risk is high. Lenders either avoid the segment or charge excessive rates.</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6B">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Vendor partners guarantee 1,250 kWh/kWp/year. Underperformance triggers vendor-to-Marman compensation. Borrower obligation is unaffected. Financier risk is structurally reduced.</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6C">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Fragmented cleantech ecosystem for underserved India</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6D">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No single provider combines financing, vendor curation, and performance assurance for underserved borrowers. Tier 2/3 geographies are largely ignored by mainstream cleantech players.</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6E">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Full-stack CTaaS: finance + curated vendor + performance guarantee + marketplace, with pan-India vendor coverage across asset classes.</w:t>
            </w:r>
            <w:r w:rsidDel="00000000" w:rsidR="00000000" w:rsidRPr="00000000">
              <w:rPr>
                <w:rtl w:val="0"/>
              </w:rPr>
            </w:r>
          </w:p>
        </w:tc>
      </w:tr>
    </w:tbl>
    <w:p w:rsidR="00000000" w:rsidDel="00000000" w:rsidP="00000000" w:rsidRDefault="00000000" w:rsidRPr="00000000" w14:paraId="0000006F">
      <w:pPr>
        <w:spacing w:after="120" w:before="28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#9 Business Model and Revenue Channels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60" w:before="60" w:lineRule="auto"/>
        <w:rPr>
          <w:rFonts w:ascii="Arial" w:cs="Arial" w:eastAsia="Arial" w:hAnsi="Arial"/>
        </w:rPr>
      </w:pPr>
      <w:r w:rsidDel="00000000" w:rsidR="00000000" w:rsidRPr="00000000">
        <w:rPr>
          <w:rFonts w:ascii="Arial" w:cs="Arial" w:eastAsia="Arial" w:hAnsi="Arial"/>
          <w:color w:val="2c2c2c"/>
          <w:rtl w:val="0"/>
        </w:rPr>
        <w:t xml:space="preserve">Marman earns revenue across three layers. The primary engine today is Net Interest Income from own-books lending:</w:t>
      </w:r>
      <w:r w:rsidDel="00000000" w:rsidR="00000000" w:rsidRPr="00000000">
        <w:rPr>
          <w:rtl w:val="0"/>
        </w:rPr>
      </w:r>
    </w:p>
    <w:tbl>
      <w:tblPr>
        <w:tblStyle w:val="Table9"/>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95"/>
        <w:gridCol w:w="3375"/>
        <w:gridCol w:w="4095"/>
        <w:tblGridChange w:id="0">
          <w:tblGrid>
            <w:gridCol w:w="2595"/>
            <w:gridCol w:w="3375"/>
            <w:gridCol w:w="4095"/>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71">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Revenue Source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72">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What Is Charged</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73">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Notes and Status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74">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Net Interest Income (NII)</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75">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Financing spread between cost of capital and lending rate. Rs 7.5/kWh benchmark. Ticket size Rs 25L to 1 Cr, 5-year tenure.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76">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Primary revenue stream. ARR: Rs 1 Cr NII on Rs 6.8 Cr AUM. PAT positive month-on-month at current scale. Scales directly with AUM, which is constrained without institutional capital.</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77">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Marketplace supply chain margin</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78">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Margin on green product and service procurement facilitated through the Marman marketplace for borrowers.</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79">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Early stage. Not a significant contributor today. Structurally higher-margin than NII. Requires scale to matter.</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7A">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Carbon credits</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7B">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Monetisation of verified emission reductions from financed assets such as rooftop solar and energy efficiency retrofits.</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7C">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3 to 5 years from materialising. Should not appear in Phase 1 or Phase 2 financial projections. Verify that Marman's financial model does not depend on this stream.</w:t>
            </w:r>
            <w:r w:rsidDel="00000000" w:rsidR="00000000" w:rsidRPr="00000000">
              <w:rPr>
                <w:rtl w:val="0"/>
              </w:rPr>
            </w:r>
          </w:p>
        </w:tc>
      </w:tr>
    </w:tbl>
    <w:p w:rsidR="00000000" w:rsidDel="00000000" w:rsidP="00000000" w:rsidRDefault="00000000" w:rsidRPr="00000000" w14:paraId="0000007D">
      <w:pPr>
        <w:spacing w:after="120" w:before="28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#10 Financial Overview</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spacing w:after="100" w:before="200" w:lineRule="auto"/>
        <w:rPr>
          <w:rFonts w:ascii="Arial" w:cs="Arial" w:eastAsia="Arial" w:hAnsi="Arial"/>
          <w:sz w:val="22"/>
          <w:szCs w:val="22"/>
        </w:rPr>
      </w:pPr>
      <w:r w:rsidDel="00000000" w:rsidR="00000000" w:rsidRPr="00000000">
        <w:rPr>
          <w:rFonts w:ascii="Arial" w:cs="Arial" w:eastAsia="Arial" w:hAnsi="Arial"/>
          <w:b w:val="1"/>
          <w:bCs w:val="1"/>
          <w:color w:val="9a7d0a"/>
          <w:sz w:val="22"/>
          <w:szCs w:val="22"/>
          <w:rtl w:val="0"/>
        </w:rPr>
        <w:t xml:space="preserve">Key Financial Metrics</w:t>
      </w:r>
      <w:r w:rsidDel="00000000" w:rsidR="00000000" w:rsidRPr="00000000">
        <w:rPr>
          <w:rtl w:val="0"/>
        </w:rPr>
      </w:r>
    </w:p>
    <w:tbl>
      <w:tblPr>
        <w:tblStyle w:val="Table10"/>
        <w:tblW w:w="10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5"/>
        <w:gridCol w:w="6255"/>
        <w:tblGridChange w:id="0">
          <w:tblGrid>
            <w:gridCol w:w="4005"/>
            <w:gridCol w:w="6255"/>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7F">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rtl w:val="0"/>
              </w:rPr>
              <w:t xml:space="preserve">Metric</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80">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rtl w:val="0"/>
              </w:rPr>
              <w:t xml:space="preserve">Value</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81">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rtl w:val="0"/>
              </w:rPr>
              <w:t xml:space="preserve">AUM (current)</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82">
            <w:pPr>
              <w:spacing w:after="60" w:before="60" w:lineRule="auto"/>
              <w:jc w:val="left"/>
              <w:rPr>
                <w:rFonts w:ascii="Arial" w:cs="Arial" w:eastAsia="Arial" w:hAnsi="Arial"/>
              </w:rPr>
            </w:pPr>
            <w:r w:rsidDel="00000000" w:rsidR="00000000" w:rsidRPr="00000000">
              <w:rPr>
                <w:rFonts w:ascii="Arial" w:cs="Arial" w:eastAsia="Arial" w:hAnsi="Arial"/>
                <w:color w:val="2c2c2c"/>
                <w:rtl w:val="0"/>
              </w:rPr>
              <w:t xml:space="preserve">Rs 6.8 Cr, 12x growth. 100% own-books.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83">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rtl w:val="0"/>
              </w:rPr>
              <w:t xml:space="preserve">ARR, Net Interest Income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84">
            <w:pPr>
              <w:spacing w:after="60" w:before="60" w:lineRule="auto"/>
              <w:jc w:val="left"/>
              <w:rPr>
                <w:rFonts w:ascii="Arial" w:cs="Arial" w:eastAsia="Arial" w:hAnsi="Arial"/>
              </w:rPr>
            </w:pPr>
            <w:r w:rsidDel="00000000" w:rsidR="00000000" w:rsidRPr="00000000">
              <w:rPr>
                <w:rFonts w:ascii="Arial" w:cs="Arial" w:eastAsia="Arial" w:hAnsi="Arial"/>
                <w:color w:val="2c2c2c"/>
                <w:rtl w:val="0"/>
              </w:rPr>
              <w:t xml:space="preserve">Rs 1 Cr NII</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85">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rtl w:val="0"/>
              </w:rPr>
              <w:t xml:space="preserve">Profitability</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86">
            <w:pPr>
              <w:spacing w:after="60" w:before="60" w:lineRule="auto"/>
              <w:jc w:val="left"/>
              <w:rPr>
                <w:rFonts w:ascii="Arial" w:cs="Arial" w:eastAsia="Arial" w:hAnsi="Arial"/>
              </w:rPr>
            </w:pPr>
            <w:r w:rsidDel="00000000" w:rsidR="00000000" w:rsidRPr="00000000">
              <w:rPr>
                <w:rFonts w:ascii="Arial" w:cs="Arial" w:eastAsia="Arial" w:hAnsi="Arial"/>
                <w:color w:val="2c2c2c"/>
                <w:rtl w:val="0"/>
              </w:rPr>
              <w:t xml:space="preserve">PAT positive month-on-month as of November 2025</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87">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rtl w:val="0"/>
              </w:rPr>
              <w:t xml:space="preserve">Portfolio delinquency</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88">
            <w:pPr>
              <w:spacing w:after="60" w:before="60" w:lineRule="auto"/>
              <w:jc w:val="left"/>
              <w:rPr>
                <w:rFonts w:ascii="Arial" w:cs="Arial" w:eastAsia="Arial" w:hAnsi="Arial"/>
              </w:rPr>
            </w:pPr>
            <w:r w:rsidDel="00000000" w:rsidR="00000000" w:rsidRPr="00000000">
              <w:rPr>
                <w:rFonts w:ascii="Arial" w:cs="Arial" w:eastAsia="Arial" w:hAnsi="Arial"/>
                <w:color w:val="2c2c2c"/>
                <w:rtl w:val="0"/>
              </w:rPr>
              <w:t xml:space="preserve">Zero delinquency to date (must track as AUM scales)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89">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rtl w:val="0"/>
              </w:rPr>
              <w:t xml:space="preserve">Application conversion</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8A">
            <w:pPr>
              <w:spacing w:after="60" w:before="60" w:lineRule="auto"/>
              <w:jc w:val="left"/>
              <w:rPr>
                <w:rFonts w:ascii="Arial" w:cs="Arial" w:eastAsia="Arial" w:hAnsi="Arial"/>
              </w:rPr>
            </w:pPr>
            <w:r w:rsidDel="00000000" w:rsidR="00000000" w:rsidRPr="00000000">
              <w:rPr>
                <w:rFonts w:ascii="Arial" w:cs="Arial" w:eastAsia="Arial" w:hAnsi="Arial"/>
                <w:color w:val="2c2c2c"/>
                <w:rtl w:val="0"/>
              </w:rPr>
              <w:t xml:space="preserve">Approves 1 in 8 to 10 applications, rejects 7 to 9 of 10</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8B">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rtl w:val="0"/>
              </w:rPr>
              <w:t xml:space="preserve">LLP and entity structure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8C">
            <w:pPr>
              <w:spacing w:after="60" w:before="60" w:lineRule="auto"/>
              <w:jc w:val="left"/>
              <w:rPr>
                <w:rFonts w:ascii="Arial" w:cs="Arial" w:eastAsia="Arial" w:hAnsi="Arial"/>
              </w:rPr>
            </w:pPr>
            <w:r w:rsidDel="00000000" w:rsidR="00000000" w:rsidRPr="00000000">
              <w:rPr>
                <w:rFonts w:ascii="Arial" w:cs="Arial" w:eastAsia="Arial" w:hAnsi="Arial"/>
                <w:color w:val="2c2c2c"/>
                <w:rtl w:val="0"/>
              </w:rPr>
              <w:t xml:space="preserve">3 LLPs (April, July, September 2024); Marman PLC incorporated April 2025</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8D">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rtl w:val="0"/>
              </w:rPr>
              <w:t xml:space="preserve">Equity raised to date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8E">
            <w:pPr>
              <w:spacing w:after="60" w:before="60" w:lineRule="auto"/>
              <w:jc w:val="left"/>
              <w:rPr>
                <w:rFonts w:ascii="Arial" w:cs="Arial" w:eastAsia="Arial" w:hAnsi="Arial"/>
              </w:rPr>
            </w:pPr>
            <w:r w:rsidDel="00000000" w:rsidR="00000000" w:rsidRPr="00000000">
              <w:rPr>
                <w:rFonts w:ascii="Arial" w:cs="Arial" w:eastAsia="Arial" w:hAnsi="Arial"/>
                <w:color w:val="2c2c2c"/>
                <w:rtl w:val="0"/>
              </w:rPr>
              <w:t xml:space="preserve">Rs 6 Cr via SAFE notes, family and friends round</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8F">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rtl w:val="0"/>
              </w:rPr>
              <w:t xml:space="preserve">Current fundraise</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90">
            <w:pPr>
              <w:spacing w:after="60" w:before="60" w:lineRule="auto"/>
              <w:jc w:val="left"/>
              <w:rPr>
                <w:rFonts w:ascii="Arial" w:cs="Arial" w:eastAsia="Arial" w:hAnsi="Arial"/>
              </w:rPr>
            </w:pPr>
            <w:r w:rsidDel="00000000" w:rsidR="00000000" w:rsidRPr="00000000">
              <w:rPr>
                <w:rFonts w:ascii="Arial" w:cs="Arial" w:eastAsia="Arial" w:hAnsi="Arial"/>
                <w:color w:val="2c2c2c"/>
                <w:rtl w:val="0"/>
              </w:rPr>
              <w:t xml:space="preserve">Up to Rs 5 Cr SAFE or CCPS; cap Rs 60 Cr; 20% discount (effective floor approx Rs 48 Cr)</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91">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rtl w:val="0"/>
              </w:rPr>
              <w:t xml:space="preserve">ARR target post Phase 1</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92">
            <w:pPr>
              <w:spacing w:after="60" w:before="60" w:lineRule="auto"/>
              <w:jc w:val="left"/>
              <w:rPr>
                <w:rFonts w:ascii="Arial" w:cs="Arial" w:eastAsia="Arial" w:hAnsi="Arial"/>
              </w:rPr>
            </w:pPr>
            <w:r w:rsidDel="00000000" w:rsidR="00000000" w:rsidRPr="00000000">
              <w:rPr>
                <w:rFonts w:ascii="Arial" w:cs="Arial" w:eastAsia="Arial" w:hAnsi="Arial"/>
                <w:color w:val="2c2c2c"/>
                <w:rtl w:val="0"/>
              </w:rPr>
              <w:t xml:space="preserve">Rs 1 Cr to Rs 20 Cr NII</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93">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rtl w:val="0"/>
              </w:rPr>
              <w:t xml:space="preserve">Team size (current)</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94">
            <w:pPr>
              <w:spacing w:after="60" w:before="60" w:lineRule="auto"/>
              <w:jc w:val="left"/>
              <w:rPr>
                <w:rFonts w:ascii="Arial" w:cs="Arial" w:eastAsia="Arial" w:hAnsi="Arial"/>
              </w:rPr>
            </w:pPr>
            <w:r w:rsidDel="00000000" w:rsidR="00000000" w:rsidRPr="00000000">
              <w:rPr>
                <w:rFonts w:ascii="Arial" w:cs="Arial" w:eastAsia="Arial" w:hAnsi="Arial"/>
                <w:color w:val="2c2c2c"/>
                <w:rtl w:val="0"/>
              </w:rPr>
              <w:t xml:space="preserve">3 employees; finance and compliance outsourced</w:t>
            </w:r>
            <w:r w:rsidDel="00000000" w:rsidR="00000000" w:rsidRPr="00000000">
              <w:rPr>
                <w:rtl w:val="0"/>
              </w:rPr>
            </w:r>
          </w:p>
        </w:tc>
      </w:tr>
    </w:tbl>
    <w:p w:rsidR="00000000" w:rsidDel="00000000" w:rsidP="00000000" w:rsidRDefault="00000000" w:rsidRPr="00000000" w14:paraId="00000095">
      <w:pPr>
        <w:spacing w:after="100" w:before="20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#11 Revenue and Growth, Chart Placeholders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spacing w:after="60" w:before="60" w:lineRule="auto"/>
        <w:rPr>
          <w:rFonts w:ascii="Arial" w:cs="Arial" w:eastAsia="Arial" w:hAnsi="Arial"/>
        </w:rPr>
      </w:pPr>
      <w:r w:rsidDel="00000000" w:rsidR="00000000" w:rsidRPr="00000000">
        <w:rPr>
          <w:rFonts w:ascii="Arial" w:cs="Arial" w:eastAsia="Arial" w:hAnsi="Arial"/>
          <w:color w:val="2c2c2c"/>
          <w:sz w:val="21"/>
          <w:szCs w:val="21"/>
          <w:rtl w:val="0"/>
        </w:rPr>
        <w:t xml:space="preserve">The following charts should be populated from Marman management accounts before the Stage 3 presentation:</w:t>
      </w:r>
      <w:r w:rsidDel="00000000" w:rsidR="00000000" w:rsidRPr="00000000">
        <w:rPr>
          <w:rtl w:val="0"/>
        </w:rPr>
      </w:r>
    </w:p>
    <w:tbl>
      <w:tblPr>
        <w:tblStyle w:val="Table11"/>
        <w:tblW w:w="101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85"/>
        <w:tblGridChange w:id="0">
          <w:tblGrid>
            <w:gridCol w:w="10185"/>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97">
            <w:pPr>
              <w:spacing w:after="180" w:before="180" w:lineRule="auto"/>
              <w:jc w:val="center"/>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 INSERT CHART: AUM Growth: Monthly AUM (Rs Cr) over trailing 18 months, showing the 12x growth trajectory and current run rate ]</w:t>
            </w:r>
            <w:r w:rsidDel="00000000" w:rsidR="00000000" w:rsidRPr="00000000">
              <w:rPr>
                <w:rtl w:val="0"/>
              </w:rPr>
            </w:r>
          </w:p>
        </w:tc>
      </w:tr>
    </w:tbl>
    <w:p w:rsidR="00000000" w:rsidDel="00000000" w:rsidP="00000000" w:rsidRDefault="00000000" w:rsidRPr="00000000" w14:paraId="00000098">
      <w:pPr>
        <w:spacing w:after="80" w:before="100" w:lineRule="auto"/>
        <w:rPr>
          <w:rFonts w:ascii="Arial" w:cs="Arial" w:eastAsia="Arial" w:hAnsi="Arial"/>
        </w:rPr>
      </w:pPr>
      <w:r w:rsidDel="00000000" w:rsidR="00000000" w:rsidRPr="00000000">
        <w:rPr>
          <w:rtl w:val="0"/>
        </w:rPr>
      </w:r>
    </w:p>
    <w:tbl>
      <w:tblPr>
        <w:tblStyle w:val="Table12"/>
        <w:tblW w:w="10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0"/>
        <w:tblGridChange w:id="0">
          <w:tblGrid>
            <w:gridCol w:w="10200"/>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99">
            <w:pPr>
              <w:spacing w:after="180" w:before="180" w:lineRule="auto"/>
              <w:jc w:val="center"/>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 INSERT CHART: NII Run Rate: Monthly Net Interest Income (Rs L) over trailing 12 months, showing path toward Rs 20 Cr ARR target ]</w:t>
            </w:r>
            <w:r w:rsidDel="00000000" w:rsidR="00000000" w:rsidRPr="00000000">
              <w:rPr>
                <w:rtl w:val="0"/>
              </w:rPr>
            </w:r>
          </w:p>
        </w:tc>
      </w:tr>
    </w:tbl>
    <w:p w:rsidR="00000000" w:rsidDel="00000000" w:rsidP="00000000" w:rsidRDefault="00000000" w:rsidRPr="00000000" w14:paraId="0000009A">
      <w:pPr>
        <w:spacing w:after="80" w:before="100" w:lineRule="auto"/>
        <w:rPr>
          <w:rFonts w:ascii="Arial" w:cs="Arial" w:eastAsia="Arial" w:hAnsi="Arial"/>
        </w:rPr>
      </w:pPr>
      <w:r w:rsidDel="00000000" w:rsidR="00000000" w:rsidRPr="00000000">
        <w:rPr>
          <w:rtl w:val="0"/>
        </w:rPr>
      </w:r>
    </w:p>
    <w:tbl>
      <w:tblPr>
        <w:tblStyle w:val="Table13"/>
        <w:tblW w:w="101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85"/>
        <w:tblGridChange w:id="0">
          <w:tblGrid>
            <w:gridCol w:w="10185"/>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9B">
            <w:pPr>
              <w:spacing w:after="180" w:before="180" w:lineRule="auto"/>
              <w:jc w:val="center"/>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 INSERT CHART: Revenue Channel Mix: NII vs Marketplace Margin vs Other, current actual mix and projected Phase 1 exit mix ]</w:t>
            </w:r>
            <w:r w:rsidDel="00000000" w:rsidR="00000000" w:rsidRPr="00000000">
              <w:rPr>
                <w:rtl w:val="0"/>
              </w:rPr>
            </w:r>
          </w:p>
        </w:tc>
      </w:tr>
    </w:tbl>
    <w:p w:rsidR="00000000" w:rsidDel="00000000" w:rsidP="00000000" w:rsidRDefault="00000000" w:rsidRPr="00000000" w14:paraId="0000009C">
      <w:pPr>
        <w:spacing w:after="80" w:before="100" w:lineRule="auto"/>
        <w:rPr>
          <w:rFonts w:ascii="Arial" w:cs="Arial" w:eastAsia="Arial" w:hAnsi="Arial"/>
        </w:rPr>
      </w:pPr>
      <w:r w:rsidDel="00000000" w:rsidR="00000000" w:rsidRPr="00000000">
        <w:rPr>
          <w:rtl w:val="0"/>
        </w:rPr>
      </w:r>
    </w:p>
    <w:tbl>
      <w:tblPr>
        <w:tblStyle w:val="Table14"/>
        <w:tblW w:w="101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55"/>
        <w:tblGridChange w:id="0">
          <w:tblGrid>
            <w:gridCol w:w="10155"/>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9D">
            <w:pPr>
              <w:spacing w:after="180" w:before="180" w:lineRule="auto"/>
              <w:jc w:val="center"/>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 INSERT CHART: Asset Class Distribution: AUM by product category (Rooftop Solar / Energy Efficiency / EV / Green Appliances / Agri / Other) ]</w:t>
            </w:r>
            <w:r w:rsidDel="00000000" w:rsidR="00000000" w:rsidRPr="00000000">
              <w:rPr>
                <w:rtl w:val="0"/>
              </w:rPr>
            </w:r>
          </w:p>
        </w:tc>
      </w:tr>
    </w:tbl>
    <w:p w:rsidR="00000000" w:rsidDel="00000000" w:rsidP="00000000" w:rsidRDefault="00000000" w:rsidRPr="00000000" w14:paraId="0000009E">
      <w:pPr>
        <w:spacing w:after="80" w:before="100" w:lineRule="auto"/>
        <w:rPr>
          <w:rFonts w:ascii="Arial" w:cs="Arial" w:eastAsia="Arial" w:hAnsi="Arial"/>
        </w:rPr>
      </w:pPr>
      <w:r w:rsidDel="00000000" w:rsidR="00000000" w:rsidRPr="00000000">
        <w:rPr>
          <w:rtl w:val="0"/>
        </w:rPr>
      </w:r>
    </w:p>
    <w:tbl>
      <w:tblPr>
        <w:tblStyle w:val="Table15"/>
        <w:tblW w:w="102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30"/>
        <w:tblGridChange w:id="0">
          <w:tblGrid>
            <w:gridCol w:w="10230"/>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9F">
            <w:pPr>
              <w:spacing w:after="180" w:before="180" w:lineRule="auto"/>
              <w:jc w:val="center"/>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 INSERT CHART: Portfolio Quality: Application-to-Disbursement funnel; loan count by ticket size band; delinquency rate over time ]</w:t>
            </w:r>
            <w:r w:rsidDel="00000000" w:rsidR="00000000" w:rsidRPr="00000000">
              <w:rPr>
                <w:rtl w:val="0"/>
              </w:rPr>
            </w:r>
          </w:p>
        </w:tc>
      </w:tr>
    </w:tbl>
    <w:p w:rsidR="00000000" w:rsidDel="00000000" w:rsidP="00000000" w:rsidRDefault="00000000" w:rsidRPr="00000000" w14:paraId="000000A0">
      <w:pPr>
        <w:spacing w:after="120" w:before="28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#12 Fundraise and Capital Deployment</w:t>
      </w:r>
      <w:r w:rsidDel="00000000" w:rsidR="00000000" w:rsidRPr="00000000">
        <w:pict>
          <v:rect style="width:0.0pt;height:1.5pt" o:hr="t" o:hrstd="t" o:hralign="center" fillcolor="#A0A0A0" stroked="f"/>
        </w:pict>
      </w:r>
      <w:r w:rsidDel="00000000" w:rsidR="00000000" w:rsidRPr="00000000">
        <w:rPr>
          <w:rtl w:val="0"/>
        </w:rPr>
      </w:r>
    </w:p>
    <w:tbl>
      <w:tblPr>
        <w:tblStyle w:val="Table16"/>
        <w:tblW w:w="103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95"/>
        <w:gridCol w:w="7140"/>
        <w:tblGridChange w:id="0">
          <w:tblGrid>
            <w:gridCol w:w="3195"/>
            <w:gridCol w:w="7140"/>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A1">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Item</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A2">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Details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A3">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Current ask</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A4">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Up to Rs 5 Cr (SAFE or CCPS)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A5">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Valuation terms</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A6">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Rs 60 Cr valuation cap, 20% discount, effective floor approx Rs 48 Cr. Sachin flagged Rs 50 Cr+ as challenging for NBV; Rs 48 Cr is the preferred NBV entry point.</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A7">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Prior equity raised</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A8">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Rs 6 Cr via SAFE notes (family and friends)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A9">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Use of funds (stated)</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AA">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Customer acquisition team (feet-on-street, Tier 2 and 3 clusters), proprietary app development, risk and credit hiring</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AB">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NBFC license requirement</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AC">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RBI requires Rs 10 Cr equity capital. Current equity plus this raise could cross the threshold. NBFC is the gateway to institutional debt, co-lending, and AUM scale.</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9f0d0" w:val="clear"/>
            <w:tcMar>
              <w:top w:w="80.0" w:type="dxa"/>
              <w:left w:w="120.0" w:type="dxa"/>
              <w:bottom w:w="80.0" w:type="dxa"/>
              <w:right w:w="120.0" w:type="dxa"/>
            </w:tcMar>
            <w:vAlign w:val="center"/>
          </w:tcPr>
          <w:p w:rsidR="00000000" w:rsidDel="00000000" w:rsidP="00000000" w:rsidRDefault="00000000" w:rsidRPr="00000000" w14:paraId="000000AD">
            <w:pPr>
              <w:spacing w:after="60" w:before="60" w:lineRule="auto"/>
              <w:jc w:val="left"/>
              <w:rPr>
                <w:rFonts w:ascii="Arial" w:cs="Arial" w:eastAsia="Arial" w:hAnsi="Arial"/>
              </w:rPr>
            </w:pPr>
            <w:r w:rsidDel="00000000" w:rsidR="00000000" w:rsidRPr="00000000">
              <w:rPr>
                <w:rFonts w:ascii="Arial" w:cs="Arial" w:eastAsia="Arial" w:hAnsi="Arial"/>
                <w:b w:val="1"/>
                <w:bCs w:val="1"/>
                <w:color w:val="9a7d0a"/>
                <w:sz w:val="20"/>
                <w:szCs w:val="20"/>
                <w:rtl w:val="0"/>
              </w:rPr>
              <w:t xml:space="preserve">Phase 1 ARR target</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AE">
            <w:pPr>
              <w:spacing w:after="60" w:before="60" w:lineRule="auto"/>
              <w:jc w:val="left"/>
              <w:rPr>
                <w:rFonts w:ascii="Arial" w:cs="Arial" w:eastAsia="Arial" w:hAnsi="Arial"/>
              </w:rPr>
            </w:pPr>
            <w:r w:rsidDel="00000000" w:rsidR="00000000" w:rsidRPr="00000000">
              <w:rPr>
                <w:rFonts w:ascii="Arial" w:cs="Arial" w:eastAsia="Arial" w:hAnsi="Arial"/>
                <w:color w:val="2c2c2c"/>
                <w:sz w:val="20"/>
                <w:szCs w:val="20"/>
                <w:rtl w:val="0"/>
              </w:rPr>
              <w:t xml:space="preserve">Rs 1 Cr to Rs 20 Cr NII ARR</w:t>
            </w:r>
            <w:r w:rsidDel="00000000" w:rsidR="00000000" w:rsidRPr="00000000">
              <w:rPr>
                <w:rtl w:val="0"/>
              </w:rPr>
            </w:r>
          </w:p>
        </w:tc>
      </w:tr>
    </w:tbl>
    <w:p w:rsidR="00000000" w:rsidDel="00000000" w:rsidP="00000000" w:rsidRDefault="00000000" w:rsidRPr="00000000" w14:paraId="000000AF">
      <w:pPr>
        <w:spacing w:after="120" w:before="28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#13 Traction and Key Metrics</w:t>
      </w:r>
      <w:r w:rsidDel="00000000" w:rsidR="00000000" w:rsidRPr="00000000">
        <w:pict>
          <v:rect style="width:0.0pt;height:1.5pt" o:hr="t" o:hrstd="t" o:hralign="center" fillcolor="#A0A0A0" stroked="f"/>
        </w:pict>
      </w:r>
      <w:r w:rsidDel="00000000" w:rsidR="00000000" w:rsidRPr="00000000">
        <w:rPr>
          <w:rtl w:val="0"/>
        </w:rPr>
      </w:r>
    </w:p>
    <w:tbl>
      <w:tblPr>
        <w:tblStyle w:val="Table17"/>
        <w:tblW w:w="103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6765"/>
        <w:tblGridChange w:id="0">
          <w:tblGrid>
            <w:gridCol w:w="3600"/>
            <w:gridCol w:w="6765"/>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B0">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Metric</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B1">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Value and Status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B2">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AUM</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B3">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Rs 6.8 Cr, 12x growth, 100% own-books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B4">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NII ARR</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B5">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Rs 1 Cr</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B6">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Portfolio delinquency</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B7">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Zero to date. Portfolio is young and loan count unknown. Must be tracked.</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B8">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Application underwriting</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B9">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Rejects 7 to 9 of 10 applications. High bar signals credit discipline, but also raises the question of whether growth targets are achievable with this approval rate.</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BA">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First mover claim</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BB">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Stated first in India to offer sale-leaseback finance with pan-India vendor coverage and dual underwriting. Unverified but no direct competitor has been identified with the same model.</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BC">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Market size (stated)</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BD">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$60B addressable opportunity in affordable clean energy for underserved India (Marman's own estimate, not independently verified).</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BE">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Impact alignment</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BF">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Maps 11 of 17 UN SDGs. $1B AUM target by 2030.</w:t>
            </w:r>
            <w:r w:rsidDel="00000000" w:rsidR="00000000" w:rsidRPr="00000000">
              <w:rPr>
                <w:rtl w:val="0"/>
              </w:rPr>
            </w:r>
          </w:p>
        </w:tc>
      </w:tr>
    </w:tbl>
    <w:p w:rsidR="00000000" w:rsidDel="00000000" w:rsidP="00000000" w:rsidRDefault="00000000" w:rsidRPr="00000000" w14:paraId="000000C0">
      <w:pPr>
        <w:spacing w:after="120" w:before="28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#14 Competition and Differentiation</w:t>
      </w:r>
      <w:r w:rsidDel="00000000" w:rsidR="00000000" w:rsidRPr="00000000">
        <w:pict>
          <v:rect style="width:0.0pt;height:1.5pt" o:hr="t" o:hrstd="t" o:hralign="center" fillcolor="#A0A0A0" stroked="f"/>
        </w:pict>
      </w:r>
      <w:r w:rsidDel="00000000" w:rsidR="00000000" w:rsidRPr="00000000">
        <w:rPr>
          <w:rtl w:val="0"/>
        </w:rPr>
      </w:r>
    </w:p>
    <w:tbl>
      <w:tblPr>
        <w:tblStyle w:val="Table18"/>
        <w:tblW w:w="103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5"/>
        <w:gridCol w:w="3000"/>
        <w:gridCol w:w="5400"/>
        <w:tblGridChange w:id="0">
          <w:tblGrid>
            <w:gridCol w:w="1995"/>
            <w:gridCol w:w="3000"/>
            <w:gridCol w:w="5400"/>
          </w:tblGrid>
        </w:tblGridChange>
      </w:tblGrid>
      <w:tr>
        <w:trPr>
          <w:cantSplit w:val="0"/>
          <w:tblHeader w:val="0"/>
        </w:trPr>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C1">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Competitor</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C2">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Positioning</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9a7d0a" w:val="clear"/>
            <w:tcMar>
              <w:top w:w="80.0" w:type="dxa"/>
              <w:left w:w="120.0" w:type="dxa"/>
              <w:bottom w:w="80.0" w:type="dxa"/>
              <w:right w:w="120.0" w:type="dxa"/>
            </w:tcMar>
            <w:vAlign w:val="center"/>
          </w:tcPr>
          <w:p w:rsidR="00000000" w:rsidDel="00000000" w:rsidP="00000000" w:rsidRDefault="00000000" w:rsidRPr="00000000" w14:paraId="000000C3">
            <w:pPr>
              <w:spacing w:after="60" w:before="60" w:lineRule="auto"/>
              <w:jc w:val="left"/>
              <w:rPr>
                <w:rFonts w:ascii="Arial" w:cs="Arial" w:eastAsia="Arial" w:hAnsi="Arial"/>
              </w:rPr>
            </w:pPr>
            <w:r w:rsidDel="00000000" w:rsidR="00000000" w:rsidRPr="00000000">
              <w:rPr>
                <w:rFonts w:ascii="Arial" w:cs="Arial" w:eastAsia="Arial" w:hAnsi="Arial"/>
                <w:b w:val="1"/>
                <w:bCs w:val="1"/>
                <w:color w:val="ffffff"/>
                <w:sz w:val="20"/>
                <w:szCs w:val="20"/>
                <w:rtl w:val="0"/>
              </w:rPr>
              <w:t xml:space="preserve">Marman's Edge / Gap</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C4">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Ecofy</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C5">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NBFC green finance covering solar and EVs. Mainstream market orientation.</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C6">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Marman targets the underserved segment with zero-collateral terms and vendor guarantee. Ecofy focuses on better-documented, higher-credit borrowers.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C7">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Candi Solar</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C8">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Rooftop solar financing and EPC. South Africa origin, India entry.</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C9">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Marman is multi-asset-class and vendor-agnostic. Candi is solar-only and EPC-captive.</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CA">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Solar Square / Orb Energy</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CB">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Solar EPC players offering captive financing.</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CC">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EPC-captive financiers have an inherent conflict of interest in the performance guarantee: they cannot credibly guarantee their own installation quality. Marman uses curated third-party vendors.</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CD">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Banks (SBI, HDFC, etc.)</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CE">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Greenfield solar loans require collateral, long processing, urban or semi-urban orientation.</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2edd8" w:val="clear"/>
            <w:tcMar>
              <w:top w:w="80.0" w:type="dxa"/>
              <w:left w:w="120.0" w:type="dxa"/>
              <w:bottom w:w="80.0" w:type="dxa"/>
              <w:right w:w="120.0" w:type="dxa"/>
            </w:tcMar>
            <w:vAlign w:val="center"/>
          </w:tcPr>
          <w:p w:rsidR="00000000" w:rsidDel="00000000" w:rsidP="00000000" w:rsidRDefault="00000000" w:rsidRPr="00000000" w14:paraId="000000CF">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Marman's no-collateral, performance-guarantee model serves the segment banks structurally cannot reach.</w:t>
            </w:r>
            <w:r w:rsidDel="00000000" w:rsidR="00000000" w:rsidRPr="00000000">
              <w:rPr>
                <w:rtl w:val="0"/>
              </w:rPr>
            </w:r>
          </w:p>
        </w:tc>
      </w:tr>
      <w:tr>
        <w:trPr>
          <w:cantSplit w:val="0"/>
          <w:tblHeader w:val="0"/>
        </w:trPr>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D0">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SIDBI / Govt schemes</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D1">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Government green finance schemes. Slow disbursement, narrow scope, bureaucratic overhead.</w:t>
            </w:r>
            <w:r w:rsidDel="00000000" w:rsidR="00000000" w:rsidRPr="00000000">
              <w:rPr>
                <w:rtl w:val="0"/>
              </w:rPr>
            </w:r>
          </w:p>
        </w:tc>
        <w:tc>
          <w:tcPr>
            <w:tcBorders>
              <w:top w:color="d4c87a" w:space="0" w:sz="4" w:val="single"/>
              <w:left w:color="d4c87a" w:space="0" w:sz="4" w:val="single"/>
              <w:bottom w:color="d4c87a" w:space="0" w:sz="4" w:val="single"/>
              <w:right w:color="d4c87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D2">
            <w:pPr>
              <w:spacing w:after="60" w:before="60" w:lineRule="auto"/>
              <w:jc w:val="left"/>
              <w:rPr>
                <w:rFonts w:ascii="Arial" w:cs="Arial" w:eastAsia="Arial" w:hAnsi="Arial"/>
              </w:rPr>
            </w:pPr>
            <w:r w:rsidDel="00000000" w:rsidR="00000000" w:rsidRPr="00000000">
              <w:rPr>
                <w:rFonts w:ascii="Arial" w:cs="Arial" w:eastAsia="Arial" w:hAnsi="Arial"/>
                <w:b w:val="1"/>
                <w:bCs w:val="1"/>
                <w:color w:val="2c2c2c"/>
                <w:sz w:val="20"/>
                <w:szCs w:val="20"/>
                <w:rtl w:val="0"/>
              </w:rPr>
              <w:t xml:space="preserve">Marman is faster and fully private. Must confirm it is not duplicating a scheme borrowers already qualify for, as this affects actual demand.</w:t>
            </w:r>
            <w:r w:rsidDel="00000000" w:rsidR="00000000" w:rsidRPr="00000000">
              <w:rPr>
                <w:rtl w:val="0"/>
              </w:rPr>
            </w:r>
          </w:p>
        </w:tc>
      </w:tr>
    </w:tbl>
    <w:p w:rsidR="00000000" w:rsidDel="00000000" w:rsidP="00000000" w:rsidRDefault="00000000" w:rsidRPr="00000000" w14:paraId="000000D3">
      <w:pPr>
        <w:spacing w:after="60" w:before="60" w:lineRule="auto"/>
        <w:rPr>
          <w:rFonts w:ascii="Arial" w:cs="Arial" w:eastAsia="Arial" w:hAnsi="Arial"/>
        </w:rPr>
      </w:pPr>
      <w:sdt>
        <w:sdtPr>
          <w:id w:val="708464693"/>
          <w:tag w:val="goog_rdk_30"/>
        </w:sdtPr>
        <w:sdtContent>
          <w:commentRangeStart w:id="0"/>
        </w:sdtContent>
      </w:sdt>
      <w:r w:rsidDel="00000000" w:rsidR="00000000" w:rsidRPr="00000000">
        <w:rPr>
          <w:rFonts w:ascii="Arial" w:cs="Arial" w:eastAsia="Arial" w:hAnsi="Arial"/>
          <w:color w:val="2c2c2c"/>
          <w:rtl w:val="0"/>
        </w:rPr>
        <w:t xml:space="preserve">Deepak's stated moat: first-mover in full-stack CTaaS for underserved India, with the vendor performance guarantee creating a structural barrier that competitors without the vendor relationships and dual-underwriting infrastructure cannot easily replicate.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D4">
      <w:pPr>
        <w:spacing w:after="120" w:before="28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#15 Vision and Future Plans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Phase 1 (current raise): Feet-on-street customer acquisition in Tier 2 and 3 clusters. Proprietary app development. Scale AUM to drive NII ARR from Rs 1 Cr to Rs 20 Cr.</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Phase 2: App-driven customer acquisition and marketplace expansion. Technology leverage to reduce reliance on feet-on-street business development.</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Phase 3: NBFC license (Rs 10 Cr equity required), co-lending with banks, AUM securitisation, carbon credit monetisation, potential international expansion.</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Long-run target: $1B AUM by 2030. Company estimates 70M tonnes CO2 reduction and 10,000 jobs created across the value chain.</w:t>
      </w:r>
      <w:r w:rsidDel="00000000" w:rsidR="00000000" w:rsidRPr="00000000">
        <w:rPr>
          <w:rtl w:val="0"/>
        </w:rPr>
      </w:r>
    </w:p>
    <w:p w:rsidR="00000000" w:rsidDel="00000000" w:rsidP="00000000" w:rsidRDefault="00000000" w:rsidRPr="00000000" w14:paraId="000000D9">
      <w:pPr>
        <w:spacing w:after="120" w:before="28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#16 Strategic View and Next Steps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A">
      <w:pPr>
        <w:spacing w:after="60" w:before="60" w:lineRule="auto"/>
        <w:rPr>
          <w:rFonts w:ascii="Arial" w:cs="Arial" w:eastAsia="Arial" w:hAnsi="Arial"/>
        </w:rPr>
      </w:pPr>
      <w:r w:rsidDel="00000000" w:rsidR="00000000" w:rsidRPr="00000000">
        <w:rPr>
          <w:rFonts w:ascii="Arial" w:cs="Arial" w:eastAsia="Arial" w:hAnsi="Arial"/>
          <w:color w:val="2c2c2c"/>
          <w:rtl w:val="0"/>
        </w:rPr>
        <w:t xml:space="preserve">Marman is building toward India's first full-stack CleanTech-as-a-Service platform for the underserved segment. The structural insight, dual underwriting that separates vendor performance risk from borrower credit risk, is genuine. Deepak's 30+ year banking background and 7+ years in sustainability finance make for credible founder-market fit. Early metrics (zero delinquency, PAT positive, 12x AUM growth) are encouraging for the capital deployed.</w:t>
      </w:r>
      <w:r w:rsidDel="00000000" w:rsidR="00000000" w:rsidRPr="00000000">
        <w:rPr>
          <w:rtl w:val="0"/>
        </w:rPr>
      </w:r>
    </w:p>
    <w:p w:rsidR="00000000" w:rsidDel="00000000" w:rsidP="00000000" w:rsidRDefault="00000000" w:rsidRPr="00000000" w14:paraId="000000DB">
      <w:pPr>
        <w:spacing w:after="60" w:before="60" w:lineRule="auto"/>
        <w:rPr>
          <w:rFonts w:ascii="Arial" w:cs="Arial" w:eastAsia="Arial" w:hAnsi="Arial"/>
        </w:rPr>
      </w:pPr>
      <w:r w:rsidDel="00000000" w:rsidR="00000000" w:rsidRPr="00000000">
        <w:rPr>
          <w:rFonts w:ascii="Arial" w:cs="Arial" w:eastAsia="Arial" w:hAnsi="Arial"/>
          <w:color w:val="2c2c2c"/>
          <w:rtl w:val="0"/>
        </w:rPr>
        <w:t xml:space="preserve">The primary risk is structural: the business cannot scale AUM significantly without institutional capital, which requires an NBFC license or co-lending partnerships. This bottleneck must be understood and planned before NBV commits capital. The valuation gap (Rs 48 to 60 Cr versus Rs 6.8 Cr AUM) is the second issue. The third is execution capacity: a 3-person team planning to hire 30 to 40 people in 24 months in a niche domain in Tier 2 and 3 markets.</w:t>
      </w:r>
      <w:r w:rsidDel="00000000" w:rsidR="00000000" w:rsidRPr="00000000">
        <w:rPr>
          <w:rtl w:val="0"/>
        </w:rPr>
      </w:r>
    </w:p>
    <w:p w:rsidR="00000000" w:rsidDel="00000000" w:rsidP="00000000" w:rsidRDefault="00000000" w:rsidRPr="00000000" w14:paraId="000000DC">
      <w:pPr>
        <w:spacing w:after="60" w:before="60" w:lineRule="auto"/>
        <w:rPr>
          <w:rFonts w:ascii="Arial" w:cs="Arial" w:eastAsia="Arial" w:hAnsi="Arial"/>
        </w:rPr>
      </w:pPr>
      <w:r w:rsidDel="00000000" w:rsidR="00000000" w:rsidRPr="00000000">
        <w:rPr>
          <w:rFonts w:ascii="Arial" w:cs="Arial" w:eastAsia="Arial" w:hAnsi="Arial"/>
          <w:color w:val="2c2c2c"/>
          <w:rtl w:val="0"/>
        </w:rPr>
        <w:t xml:space="preserve">The next call, with both Deepak and Anurag present, should be structured to resolve the capital stack question, the valuation gap, and the vendor guarantee mechanics. If those hold up, Marman has a strong case for deeper diligence.</w:t>
      </w:r>
      <w:r w:rsidDel="00000000" w:rsidR="00000000" w:rsidRPr="00000000">
        <w:rPr>
          <w:rtl w:val="0"/>
        </w:rPr>
      </w:r>
    </w:p>
    <w:p w:rsidR="00000000" w:rsidDel="00000000" w:rsidP="00000000" w:rsidRDefault="00000000" w:rsidRPr="00000000" w14:paraId="000000DD">
      <w:pPr>
        <w:spacing w:after="100" w:before="200" w:lineRule="auto"/>
        <w:rPr>
          <w:rFonts w:ascii="Arial" w:cs="Arial" w:eastAsia="Arial" w:hAnsi="Arial"/>
          <w:b w:val="1"/>
          <w:bCs w:val="1"/>
          <w:color w:val="9a7d0a"/>
          <w:sz w:val="22"/>
          <w:szCs w:val="22"/>
        </w:rPr>
      </w:pPr>
      <w:r w:rsidDel="00000000" w:rsidR="00000000" w:rsidRPr="00000000">
        <w:rPr>
          <w:rFonts w:ascii="Arial" w:cs="Arial" w:eastAsia="Arial" w:hAnsi="Arial"/>
          <w:b w:val="1"/>
          <w:bCs w:val="1"/>
          <w:color w:val="9a7d0a"/>
          <w:sz w:val="22"/>
          <w:szCs w:val="22"/>
          <w:rtl w:val="0"/>
        </w:rPr>
        <w:t xml:space="preserve">#17 Before Investment/onboarding Decision</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Portfolio granularity: how many loans are on book? Average ticket size, sectoral mix, borrower distribution? Rs 6.8 Cr concentrated in 5 to 8 large tickets is a different risk from 50+ smaller loans.</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Vendor guarantee mechanics: has any vendor underperformed and triggered the guarantee? Was it paid? What is the legal instrument and the vendor's financial capacity to pay?</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NBFC licensing status: where exactly is the RBI NBFC application? What are the remaining requirements and realistic timeline? Is a co-lending alternative being explored in parallel?</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Financial model excluding carbon credits: provide a 3-year P&amp;L and AUM projection that excludes carbon credit revenue. What do NII and marketplace margins look like on their own?</w:t>
      </w: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Co-lending pipeline: are there active discussions with existing NBFCs or banks? Who specifically is being approached and at what stage?</w:t>
      </w: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Anurag Sood on the call: validate his day-to-day role, functional contribution, India commitment, and alignment with the current growth plan directly.</w:t>
      </w: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Hiring plan: who are the first 5 hires post-funding? Are there candidates? What is the BD compensation model for Tier 2 and 3 feet-on-street roles?</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2c2c2c"/>
          <w:u w:val="none"/>
          <w:shd w:fill="auto" w:val="clear"/>
          <w:vertAlign w:val="baseline"/>
          <w:rtl w:val="0"/>
        </w:rPr>
        <w:t xml:space="preserve">Valuation: explore whether the SAFE cap can be set at Rs 45 to 50 Cr or whether there is a milestone-linked structure NBV can work with. The basis for the Rs 48 Cr floor at current traction needs to be stronger.</w:t>
      </w:r>
      <w:r w:rsidDel="00000000" w:rsidR="00000000" w:rsidRPr="00000000">
        <w:rPr>
          <w:rtl w:val="0"/>
        </w:rPr>
      </w:r>
    </w:p>
    <w:sectPr>
      <w:pgSz w:h="15840" w:w="12240" w:orient="portrait"/>
      <w:pgMar w:bottom="1080" w:top="1080" w:left="1080" w:right="108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nupam Pandey" w:id="0" w:date="2026-03-14T07:55:12Z">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Deepak's call articulation was more commercially grounded -  a banker who identified a lending gap and designed a product to fill it. check if fit?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E6"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2c2c2c"/>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c2c2c"/>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marmangsv.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2zU6SvnYHAnxurK6oQ6KeZ9nKA==">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2026-03-13T05:24:48.659Z</dcterms:created>
  <dc:creator>Un-named</dc:creator>
</cp:coreProperties>
</file>

<file path=docProps/custom.xml><?xml version="1.0" encoding="utf-8"?>
<Properties xmlns="http://schemas.openxmlformats.org/officeDocument/2006/custom-properties" xmlns:vt="http://schemas.openxmlformats.org/officeDocument/2006/docPropsVTypes"/>
</file>